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4FAF4E" w14:textId="77777777" w:rsidR="004A3F27" w:rsidRDefault="00FF26F3">
      <w:r>
        <w:rPr>
          <w:b/>
          <w:bCs/>
          <w:sz w:val="40"/>
          <w:szCs w:val="40"/>
        </w:rPr>
        <w:t>Online project idea pitch session part II - ITEA Call 2026</w:t>
      </w:r>
    </w:p>
    <w:p w14:paraId="580518C1" w14:textId="77777777" w:rsidR="004A3F27" w:rsidRDefault="004A3F27"/>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80" w:type="dxa"/>
          <w:left w:w="80" w:type="dxa"/>
          <w:bottom w:w="80" w:type="dxa"/>
          <w:right w:w="80" w:type="dxa"/>
        </w:tblCellMar>
        <w:tblLook w:val="04A0" w:firstRow="1" w:lastRow="0" w:firstColumn="1" w:lastColumn="0" w:noHBand="0" w:noVBand="1"/>
      </w:tblPr>
      <w:tblGrid>
        <w:gridCol w:w="800"/>
        <w:gridCol w:w="1600"/>
        <w:gridCol w:w="6800"/>
        <w:gridCol w:w="1600"/>
      </w:tblGrid>
      <w:tr w:rsidR="004A3F27" w14:paraId="2D8C7822" w14:textId="77777777">
        <w:tc>
          <w:tcPr>
            <w:tcW w:w="800" w:type="dxa"/>
            <w:noWrap/>
          </w:tcPr>
          <w:p w14:paraId="569380A6" w14:textId="77777777" w:rsidR="004A3F27" w:rsidRDefault="00FF26F3">
            <w:pPr>
              <w:pStyle w:val="noSpacing"/>
            </w:pPr>
            <w:r>
              <w:rPr>
                <w:b/>
                <w:bCs/>
              </w:rPr>
              <w:t>Time</w:t>
            </w:r>
          </w:p>
        </w:tc>
        <w:tc>
          <w:tcPr>
            <w:tcW w:w="1600" w:type="dxa"/>
            <w:noWrap/>
          </w:tcPr>
          <w:p w14:paraId="73BB46A7" w14:textId="77777777" w:rsidR="004A3F27" w:rsidRDefault="00FF26F3">
            <w:pPr>
              <w:pStyle w:val="noSpacing"/>
            </w:pPr>
            <w:r>
              <w:rPr>
                <w:b/>
                <w:bCs/>
              </w:rPr>
              <w:t>Idea acronym</w:t>
            </w:r>
          </w:p>
        </w:tc>
        <w:tc>
          <w:tcPr>
            <w:tcW w:w="6800" w:type="dxa"/>
            <w:noWrap/>
          </w:tcPr>
          <w:p w14:paraId="72927983" w14:textId="77777777" w:rsidR="004A3F27" w:rsidRDefault="00FF26F3">
            <w:pPr>
              <w:pStyle w:val="noSpacing"/>
            </w:pPr>
            <w:r>
              <w:rPr>
                <w:b/>
                <w:bCs/>
              </w:rPr>
              <w:t>Short description</w:t>
            </w:r>
          </w:p>
        </w:tc>
        <w:tc>
          <w:tcPr>
            <w:tcW w:w="1600" w:type="dxa"/>
            <w:noWrap/>
          </w:tcPr>
          <w:p w14:paraId="784C98BD" w14:textId="77777777" w:rsidR="004A3F27" w:rsidRDefault="00FF26F3">
            <w:pPr>
              <w:pStyle w:val="noSpacing"/>
            </w:pPr>
            <w:r>
              <w:rPr>
                <w:b/>
                <w:bCs/>
              </w:rPr>
              <w:t>Notes</w:t>
            </w:r>
          </w:p>
        </w:tc>
      </w:tr>
      <w:tr w:rsidR="004A3F27" w14:paraId="12258C83" w14:textId="77777777">
        <w:trPr>
          <w:cantSplit/>
        </w:trPr>
        <w:tc>
          <w:tcPr>
            <w:tcW w:w="800" w:type="dxa"/>
            <w:noWrap/>
          </w:tcPr>
          <w:p w14:paraId="00E9725E" w14:textId="77777777" w:rsidR="004A3F27" w:rsidRDefault="00FF26F3">
            <w:pPr>
              <w:pStyle w:val="noSpacing"/>
            </w:pPr>
            <w:r>
              <w:t>14:30</w:t>
            </w:r>
          </w:p>
        </w:tc>
        <w:tc>
          <w:tcPr>
            <w:tcW w:w="1600" w:type="dxa"/>
            <w:noWrap/>
          </w:tcPr>
          <w:p w14:paraId="16D5349A" w14:textId="77777777" w:rsidR="004A3F27" w:rsidRDefault="00FF26F3">
            <w:pPr>
              <w:pStyle w:val="noSpacing"/>
            </w:pPr>
            <w:hyperlink r:id="rId6" w:history="1">
              <w:r>
                <w:rPr>
                  <w:color w:val="71BD54"/>
                  <w:u w:val="single"/>
                </w:rPr>
                <w:t>B1: Value hexagramm</w:t>
              </w:r>
            </w:hyperlink>
            <w:r>
              <w:br/>
            </w:r>
            <w:r>
              <w:br/>
            </w:r>
            <w:r>
              <w:rPr>
                <w:sz w:val="16"/>
                <w:szCs w:val="16"/>
              </w:rPr>
              <w:t>Contact:</w:t>
            </w:r>
            <w:r>
              <w:br/>
            </w:r>
            <w:r>
              <w:rPr>
                <w:sz w:val="16"/>
                <w:szCs w:val="16"/>
              </w:rPr>
              <w:t>Henry Peyret (France)</w:t>
            </w:r>
          </w:p>
        </w:tc>
        <w:tc>
          <w:tcPr>
            <w:tcW w:w="6800" w:type="dxa"/>
            <w:noWrap/>
          </w:tcPr>
          <w:p w14:paraId="0C4FB11F" w14:textId="77777777" w:rsidR="004A3F27" w:rsidRDefault="00FF26F3">
            <w:pPr>
              <w:pStyle w:val="noSpacing"/>
            </w:pPr>
            <w:r>
              <w:rPr>
                <w:sz w:val="18"/>
                <w:szCs w:val="18"/>
              </w:rPr>
              <w:t>Ai systems are raising or reinforcing ethical issues within organizations and governement agencies which are increasingly difficult to find the right balance without involving philosophers, ethicians, sociologists or other human sciences that most technical people have too few knowledge or background. Even decision makers have more difficulties to assess the full impact of their decisions when touching ethics.The hexagramm helps to get access to reading the most important philosophers concepts behind practi</w:t>
            </w:r>
            <w:r>
              <w:rPr>
                <w:sz w:val="18"/>
                <w:szCs w:val="18"/>
              </w:rPr>
              <w:t>cal questions and get a changing the view about any unsolvable ethical issues...the Hexagram is transdisciplinary thinking tool that transforms intractable tensions into creative solutions — never by compromise, but by integrating both poles simultaneously (Follett).It maps knowledge across five 3D conceptual spaces: Humanity &amp; Society, Information, The Living, Spirituality, and Cross-cultural Wisdom.Throught its 7-Level Generative System it guides decision-makers from root causes to value qualification sup</w:t>
            </w:r>
            <w:r>
              <w:rPr>
                <w:sz w:val="18"/>
                <w:szCs w:val="18"/>
              </w:rPr>
              <w:t>porting collective intelligence with integrative proposals : core principle, every opposition is a quantum superposition of partial truths awaiting creative integration — not resolution, but transcendence.It provides new ways of imagining and proposing solutions to the most difficult and complex decisions about ethics, governance, organisational issues, societal issues, values based oppositions in which no one is right or wrong.</w:t>
            </w:r>
          </w:p>
        </w:tc>
        <w:tc>
          <w:tcPr>
            <w:tcW w:w="1600" w:type="dxa"/>
            <w:noWrap/>
          </w:tcPr>
          <w:p w14:paraId="684AA194" w14:textId="77777777" w:rsidR="004A3F27" w:rsidRDefault="004A3F27">
            <w:pPr>
              <w:pStyle w:val="noSpacing"/>
            </w:pPr>
          </w:p>
        </w:tc>
      </w:tr>
      <w:tr w:rsidR="004A3F27" w14:paraId="0D488AD1" w14:textId="77777777">
        <w:trPr>
          <w:cantSplit/>
        </w:trPr>
        <w:tc>
          <w:tcPr>
            <w:tcW w:w="800" w:type="dxa"/>
            <w:noWrap/>
          </w:tcPr>
          <w:p w14:paraId="458C4260" w14:textId="77777777" w:rsidR="004A3F27" w:rsidRDefault="00FF26F3">
            <w:pPr>
              <w:pStyle w:val="noSpacing"/>
            </w:pPr>
            <w:r>
              <w:t>14:34</w:t>
            </w:r>
          </w:p>
        </w:tc>
        <w:tc>
          <w:tcPr>
            <w:tcW w:w="1600" w:type="dxa"/>
            <w:noWrap/>
          </w:tcPr>
          <w:p w14:paraId="30DB2CF9" w14:textId="77777777" w:rsidR="004A3F27" w:rsidRDefault="00FF26F3">
            <w:pPr>
              <w:pStyle w:val="noSpacing"/>
            </w:pPr>
            <w:hyperlink r:id="rId7" w:history="1">
              <w:r>
                <w:rPr>
                  <w:color w:val="71BD54"/>
                  <w:u w:val="single"/>
                </w:rPr>
                <w:t>B4: SOVEREIGN-LEARN</w:t>
              </w:r>
            </w:hyperlink>
            <w:r>
              <w:br/>
            </w:r>
            <w:r>
              <w:br/>
            </w:r>
            <w:r>
              <w:rPr>
                <w:sz w:val="16"/>
                <w:szCs w:val="16"/>
              </w:rPr>
              <w:t>Contact:</w:t>
            </w:r>
            <w:r>
              <w:br/>
            </w:r>
            <w:r>
              <w:rPr>
                <w:sz w:val="16"/>
                <w:szCs w:val="16"/>
              </w:rPr>
              <w:t>Hans van Beek (The Netherlands)</w:t>
            </w:r>
          </w:p>
        </w:tc>
        <w:tc>
          <w:tcPr>
            <w:tcW w:w="6800" w:type="dxa"/>
            <w:noWrap/>
          </w:tcPr>
          <w:p w14:paraId="63592CF6" w14:textId="77777777" w:rsidR="004A3F27" w:rsidRDefault="00FF26F3">
            <w:pPr>
              <w:pStyle w:val="noSpacing"/>
            </w:pPr>
            <w:r>
              <w:rPr>
                <w:sz w:val="18"/>
                <w:szCs w:val="18"/>
              </w:rPr>
              <w:t>Schools and universities want to use AI, but today they mostly use chatbots built outside Europe. Those tools hand out answers instead of making students think, they give teachers no idea what is happening in their class, and they send student data to places nobody in Europe controls. **SOVEREIGN-LEARN builds the missing piece underneath: an open European software framework in which specialised AI agents work together to guide learners, support teachers, and keep data and values under European control.** It</w:t>
            </w:r>
            <w:r>
              <w:rPr>
                <w:sz w:val="18"/>
                <w:szCs w:val="18"/>
              </w:rPr>
              <w:t xml:space="preserve"> is not another chatbot. It is the foundation that European EdTech companies can build and sell their own products on.The framework sits between the software a student or teacher uses and the AI model behind it. That is where the important decisions are made: how much help a struggling student gets and when, what a teacher sees about a project team, which data leaves the building, and which does not. Because these decisions live in open, shared software rather than inside a single supplier's product, compan</w:t>
            </w:r>
            <w:r>
              <w:rPr>
                <w:sz w:val="18"/>
                <w:szCs w:val="18"/>
              </w:rPr>
              <w:t>ies can plug in their own components, schools can change AI model without rebuilding everything, and *every partner keeps the intellectual property of what they build*. Real classrooms, from secondary schools to vocational colleges and universities, act as **Living Labs**, so every component is tested with real learners and real teachers before it goes to market.</w:t>
            </w:r>
          </w:p>
        </w:tc>
        <w:tc>
          <w:tcPr>
            <w:tcW w:w="1600" w:type="dxa"/>
            <w:noWrap/>
          </w:tcPr>
          <w:p w14:paraId="6F1ED7C5" w14:textId="77777777" w:rsidR="004A3F27" w:rsidRDefault="004A3F27">
            <w:pPr>
              <w:pStyle w:val="noSpacing"/>
            </w:pPr>
          </w:p>
        </w:tc>
      </w:tr>
      <w:tr w:rsidR="004A3F27" w14:paraId="6D87C3AA" w14:textId="77777777">
        <w:trPr>
          <w:cantSplit/>
        </w:trPr>
        <w:tc>
          <w:tcPr>
            <w:tcW w:w="800" w:type="dxa"/>
            <w:noWrap/>
          </w:tcPr>
          <w:p w14:paraId="33023D22" w14:textId="77777777" w:rsidR="004A3F27" w:rsidRDefault="00FF26F3">
            <w:pPr>
              <w:pStyle w:val="noSpacing"/>
            </w:pPr>
            <w:r>
              <w:t>14:38</w:t>
            </w:r>
          </w:p>
        </w:tc>
        <w:tc>
          <w:tcPr>
            <w:tcW w:w="1600" w:type="dxa"/>
            <w:noWrap/>
          </w:tcPr>
          <w:p w14:paraId="77F00695" w14:textId="77777777" w:rsidR="004A3F27" w:rsidRDefault="00FF26F3">
            <w:pPr>
              <w:pStyle w:val="noSpacing"/>
            </w:pPr>
            <w:hyperlink r:id="rId8" w:history="1">
              <w:r>
                <w:rPr>
                  <w:color w:val="71BD54"/>
                  <w:u w:val="single"/>
                </w:rPr>
                <w:t>B5: AGORA</w:t>
              </w:r>
            </w:hyperlink>
            <w:r>
              <w:br/>
            </w:r>
            <w:r>
              <w:br/>
            </w:r>
            <w:r>
              <w:rPr>
                <w:sz w:val="16"/>
                <w:szCs w:val="16"/>
              </w:rPr>
              <w:t>Contact:</w:t>
            </w:r>
            <w:r>
              <w:br/>
            </w:r>
            <w:r>
              <w:rPr>
                <w:sz w:val="16"/>
                <w:szCs w:val="16"/>
              </w:rPr>
              <w:t>Karim Dahdah (Belgium)</w:t>
            </w:r>
          </w:p>
        </w:tc>
        <w:tc>
          <w:tcPr>
            <w:tcW w:w="6800" w:type="dxa"/>
            <w:noWrap/>
          </w:tcPr>
          <w:p w14:paraId="4E397C09" w14:textId="77777777" w:rsidR="004A3F27" w:rsidRDefault="00FF26F3">
            <w:pPr>
              <w:pStyle w:val="noSpacing"/>
            </w:pPr>
            <w:r>
              <w:rPr>
                <w:sz w:val="18"/>
                <w:szCs w:val="18"/>
              </w:rPr>
              <w:t xml:space="preserve">AGORA explores how organisations can move from fixed content to trusted, adaptive digital experiences. The project will combine reusable multimodal content, machine-actionable *Experience Blueprints* and runtime context to dynamically compose experiences across channels and interfaces. It will investigate multimodal understanding and retrieval, generative adaptation, context-aware orchestration, interoperability and trusted AI governance, while preserving creative, editorial and brand intent. The resulting </w:t>
            </w:r>
            <w:r>
              <w:rPr>
                <w:sz w:val="18"/>
                <w:szCs w:val="18"/>
              </w:rPr>
              <w:t>technologies will be validated through cross-sector demonstrators in content-intensive domains.</w:t>
            </w:r>
          </w:p>
        </w:tc>
        <w:tc>
          <w:tcPr>
            <w:tcW w:w="1600" w:type="dxa"/>
            <w:noWrap/>
          </w:tcPr>
          <w:p w14:paraId="0E58537E" w14:textId="77777777" w:rsidR="004A3F27" w:rsidRDefault="004A3F27">
            <w:pPr>
              <w:pStyle w:val="noSpacing"/>
            </w:pPr>
          </w:p>
        </w:tc>
      </w:tr>
      <w:tr w:rsidR="004A3F27" w14:paraId="289C6C46" w14:textId="77777777">
        <w:trPr>
          <w:cantSplit/>
        </w:trPr>
        <w:tc>
          <w:tcPr>
            <w:tcW w:w="800" w:type="dxa"/>
            <w:noWrap/>
          </w:tcPr>
          <w:p w14:paraId="0C6A481F" w14:textId="77777777" w:rsidR="004A3F27" w:rsidRDefault="00FF26F3">
            <w:pPr>
              <w:pStyle w:val="noSpacing"/>
            </w:pPr>
            <w:r>
              <w:lastRenderedPageBreak/>
              <w:t>14:42</w:t>
            </w:r>
          </w:p>
        </w:tc>
        <w:tc>
          <w:tcPr>
            <w:tcW w:w="1600" w:type="dxa"/>
            <w:noWrap/>
          </w:tcPr>
          <w:p w14:paraId="645D8E5F" w14:textId="77777777" w:rsidR="004A3F27" w:rsidRDefault="00FF26F3">
            <w:pPr>
              <w:pStyle w:val="noSpacing"/>
            </w:pPr>
            <w:hyperlink r:id="rId9" w:history="1">
              <w:r>
                <w:rPr>
                  <w:color w:val="71BD54"/>
                  <w:u w:val="single"/>
                </w:rPr>
                <w:t>B6: SkillPath</w:t>
              </w:r>
            </w:hyperlink>
            <w:r>
              <w:br/>
            </w:r>
            <w:r>
              <w:br/>
            </w:r>
            <w:r>
              <w:rPr>
                <w:sz w:val="16"/>
                <w:szCs w:val="16"/>
              </w:rPr>
              <w:t>Contact:</w:t>
            </w:r>
            <w:r>
              <w:br/>
            </w:r>
            <w:r>
              <w:rPr>
                <w:sz w:val="16"/>
                <w:szCs w:val="16"/>
              </w:rPr>
              <w:t>Liepa Bikulciene (Lithuania)</w:t>
            </w:r>
          </w:p>
        </w:tc>
        <w:tc>
          <w:tcPr>
            <w:tcW w:w="6800" w:type="dxa"/>
            <w:noWrap/>
          </w:tcPr>
          <w:p w14:paraId="742BCCCB" w14:textId="77777777" w:rsidR="004A3F27" w:rsidRDefault="00FF26F3">
            <w:pPr>
              <w:pStyle w:val="noSpacing"/>
            </w:pPr>
            <w:r>
              <w:rPr>
                <w:sz w:val="18"/>
                <w:szCs w:val="18"/>
              </w:rPr>
              <w:t>SkillPath is an AI-supported career planning and skills development solution designed to help students navigate a rapidly changing labour market. It combines skills recognition, personalised learning recommendations, career matching, and soft skills development. By considering students’ interests, strengths, formal and non-formal learning experiences, SkillPath supports better career decisions, lifelong learning, and employability, while promoting ethical, inclusive, and psychologically safe use of AI.</w:t>
            </w:r>
          </w:p>
        </w:tc>
        <w:tc>
          <w:tcPr>
            <w:tcW w:w="1600" w:type="dxa"/>
            <w:noWrap/>
          </w:tcPr>
          <w:p w14:paraId="4F5C725E" w14:textId="77777777" w:rsidR="004A3F27" w:rsidRDefault="004A3F27">
            <w:pPr>
              <w:pStyle w:val="noSpacing"/>
            </w:pPr>
          </w:p>
        </w:tc>
      </w:tr>
      <w:tr w:rsidR="004A3F27" w14:paraId="309ED57A" w14:textId="77777777">
        <w:trPr>
          <w:cantSplit/>
        </w:trPr>
        <w:tc>
          <w:tcPr>
            <w:tcW w:w="800" w:type="dxa"/>
            <w:noWrap/>
          </w:tcPr>
          <w:p w14:paraId="13F27108" w14:textId="77777777" w:rsidR="004A3F27" w:rsidRDefault="00FF26F3">
            <w:pPr>
              <w:pStyle w:val="noSpacing"/>
            </w:pPr>
            <w:r>
              <w:t>14:46</w:t>
            </w:r>
          </w:p>
        </w:tc>
        <w:tc>
          <w:tcPr>
            <w:tcW w:w="1600" w:type="dxa"/>
            <w:noWrap/>
          </w:tcPr>
          <w:p w14:paraId="56E6EAD7" w14:textId="77777777" w:rsidR="004A3F27" w:rsidRDefault="00FF26F3">
            <w:pPr>
              <w:pStyle w:val="noSpacing"/>
            </w:pPr>
            <w:hyperlink r:id="rId10" w:history="1">
              <w:r>
                <w:rPr>
                  <w:color w:val="71BD54"/>
                  <w:u w:val="single"/>
                </w:rPr>
                <w:t>B7: CANDOR</w:t>
              </w:r>
            </w:hyperlink>
            <w:r>
              <w:br/>
            </w:r>
            <w:r>
              <w:br/>
            </w:r>
            <w:r>
              <w:rPr>
                <w:sz w:val="16"/>
                <w:szCs w:val="16"/>
              </w:rPr>
              <w:t>Contact:</w:t>
            </w:r>
            <w:r>
              <w:br/>
            </w:r>
            <w:r>
              <w:rPr>
                <w:sz w:val="16"/>
                <w:szCs w:val="16"/>
              </w:rPr>
              <w:t>Deniz Ustunerciyas (Türkiye)</w:t>
            </w:r>
          </w:p>
        </w:tc>
        <w:tc>
          <w:tcPr>
            <w:tcW w:w="6800" w:type="dxa"/>
            <w:noWrap/>
          </w:tcPr>
          <w:p w14:paraId="73CC1704" w14:textId="77777777" w:rsidR="004A3F27" w:rsidRDefault="00FF26F3">
            <w:pPr>
              <w:pStyle w:val="noSpacing"/>
            </w:pPr>
            <w:r>
              <w:rPr>
                <w:sz w:val="18"/>
                <w:szCs w:val="18"/>
              </w:rPr>
              <w:t>CANDOR will develop software foundations, evaluation methods and runtime evidence mechanisms that allow conversational and voice-first AI systems to be demonstrably accessible and demonstrably conformant with European regulation. Accessibility conformance in Europe is assessed through frameworks that assume a visual interface, leaving screenless spoken interaction without testable criteria, while the AI Act simultaneously constrains disclosure, adaptation, logging and human oversight in the same channel. CA</w:t>
            </w:r>
            <w:r>
              <w:rPr>
                <w:sz w:val="18"/>
                <w:szCs w:val="18"/>
              </w:rPr>
              <w:t>NDOR addresses five research themes: testable conformance criteria for conversational interfaces; runtime evidence generation including machine-readable synthetic speech marking, in-channel consent and verifiable interaction receipts; a reusable European evaluation set for speech diversity covering atypical speech, accents, older voices and code-switching across several languages; vulnerability-aware interaction policy that distinguishes accommodation from exploitation and enforces that boundary at runtime;</w:t>
            </w:r>
            <w:r>
              <w:rPr>
                <w:sz w:val="18"/>
                <w:szCs w:val="18"/>
              </w:rPr>
              <w:t xml:space="preserve"> and adaptation without identification, keeping voice-based personalisation clear of biometric identification. The project targets sectors already in scope of European accessibility obligations, including banking and payments, insurance, e-commerce, transport and travel, telecommunications and public-sector digital services.</w:t>
            </w:r>
          </w:p>
        </w:tc>
        <w:tc>
          <w:tcPr>
            <w:tcW w:w="1600" w:type="dxa"/>
            <w:noWrap/>
          </w:tcPr>
          <w:p w14:paraId="779BD748" w14:textId="77777777" w:rsidR="004A3F27" w:rsidRDefault="004A3F27">
            <w:pPr>
              <w:pStyle w:val="noSpacing"/>
            </w:pPr>
          </w:p>
        </w:tc>
      </w:tr>
      <w:tr w:rsidR="004A3F27" w14:paraId="63622A53" w14:textId="77777777">
        <w:trPr>
          <w:cantSplit/>
        </w:trPr>
        <w:tc>
          <w:tcPr>
            <w:tcW w:w="800" w:type="dxa"/>
            <w:noWrap/>
          </w:tcPr>
          <w:p w14:paraId="58706796" w14:textId="77777777" w:rsidR="004A3F27" w:rsidRDefault="00FF26F3">
            <w:pPr>
              <w:pStyle w:val="noSpacing"/>
            </w:pPr>
            <w:r>
              <w:t>14:50</w:t>
            </w:r>
          </w:p>
        </w:tc>
        <w:tc>
          <w:tcPr>
            <w:tcW w:w="1600" w:type="dxa"/>
            <w:noWrap/>
          </w:tcPr>
          <w:p w14:paraId="6B42BD28" w14:textId="77777777" w:rsidR="004A3F27" w:rsidRDefault="00FF26F3">
            <w:pPr>
              <w:pStyle w:val="noSpacing"/>
            </w:pPr>
            <w:hyperlink r:id="rId11" w:history="1">
              <w:r>
                <w:rPr>
                  <w:color w:val="71BD54"/>
                  <w:u w:val="single"/>
                </w:rPr>
                <w:t>B8: MANDATE</w:t>
              </w:r>
            </w:hyperlink>
            <w:r>
              <w:br/>
            </w:r>
            <w:r>
              <w:br/>
            </w:r>
            <w:r>
              <w:rPr>
                <w:sz w:val="16"/>
                <w:szCs w:val="16"/>
              </w:rPr>
              <w:t>Contact:</w:t>
            </w:r>
            <w:r>
              <w:br/>
            </w:r>
            <w:r>
              <w:rPr>
                <w:sz w:val="16"/>
                <w:szCs w:val="16"/>
              </w:rPr>
              <w:t>Deniz Ustunerciyas (Türkiye)</w:t>
            </w:r>
          </w:p>
        </w:tc>
        <w:tc>
          <w:tcPr>
            <w:tcW w:w="6800" w:type="dxa"/>
            <w:noWrap/>
          </w:tcPr>
          <w:p w14:paraId="7A5F954C" w14:textId="77777777" w:rsidR="004A3F27" w:rsidRDefault="00FF26F3">
            <w:pPr>
              <w:pStyle w:val="noSpacing"/>
            </w:pPr>
            <w:r>
              <w:rPr>
                <w:sz w:val="18"/>
                <w:szCs w:val="18"/>
              </w:rPr>
              <w:t>MANDATE will develop a trusted next-best-action layer for agentic commerce, positioned between behavioural signals and autonomous execution across consumer and trade channels. The project investigates how continuous signals from transactions, product interactions, inventory state, conversation, and device and channel context can be turned into explainable, constrained and reversible actions carried out by agents acting under delegated authority. MANDATE addresses four research themes: mandate expression and</w:t>
            </w:r>
            <w:r>
              <w:rPr>
                <w:sz w:val="18"/>
                <w:szCs w:val="18"/>
              </w:rPr>
              <w:t xml:space="preserve"> verification, so that a consumer or a business can bound what an agent may commit on their behalf; cross-organisation agent interaction, so that buyer-side and seller-side agents can negotiate under commercial and regulatory constraint; latent state estimation, so that recommended actions are grounded in inventory and demand states that are not directly observable; and multimodal delivery including voice in under-served European languages. Human governance, auditability, traceability and recourse are treat</w:t>
            </w:r>
            <w:r>
              <w:rPr>
                <w:sz w:val="18"/>
                <w:szCs w:val="18"/>
              </w:rPr>
              <w:t>ed as design constraints throughout rather than as compliance additions. The project targets commerce-intensive digital ecosystems including retail and marketplace platforms, consumer goods distribution and field trade, payment and identity services, travel and hospitality, and regulated customer operations.</w:t>
            </w:r>
          </w:p>
        </w:tc>
        <w:tc>
          <w:tcPr>
            <w:tcW w:w="1600" w:type="dxa"/>
            <w:noWrap/>
          </w:tcPr>
          <w:p w14:paraId="3FEF88DC" w14:textId="77777777" w:rsidR="004A3F27" w:rsidRDefault="004A3F27">
            <w:pPr>
              <w:pStyle w:val="noSpacing"/>
            </w:pPr>
          </w:p>
        </w:tc>
      </w:tr>
      <w:tr w:rsidR="004A3F27" w14:paraId="04F6CBCF" w14:textId="77777777">
        <w:trPr>
          <w:cantSplit/>
        </w:trPr>
        <w:tc>
          <w:tcPr>
            <w:tcW w:w="800" w:type="dxa"/>
            <w:noWrap/>
          </w:tcPr>
          <w:p w14:paraId="47FE9A27" w14:textId="77777777" w:rsidR="004A3F27" w:rsidRDefault="00FF26F3">
            <w:pPr>
              <w:pStyle w:val="noSpacing"/>
            </w:pPr>
            <w:r>
              <w:t>14:54</w:t>
            </w:r>
          </w:p>
        </w:tc>
        <w:tc>
          <w:tcPr>
            <w:tcW w:w="1600" w:type="dxa"/>
            <w:noWrap/>
          </w:tcPr>
          <w:p w14:paraId="0D6CA882" w14:textId="77777777" w:rsidR="004A3F27" w:rsidRDefault="00FF26F3">
            <w:pPr>
              <w:pStyle w:val="noSpacing"/>
            </w:pPr>
            <w:hyperlink r:id="rId12" w:history="1">
              <w:r>
                <w:rPr>
                  <w:color w:val="71BD54"/>
                  <w:u w:val="single"/>
                </w:rPr>
                <w:t>C1: FUNCTION-AI</w:t>
              </w:r>
            </w:hyperlink>
            <w:r>
              <w:br/>
            </w:r>
            <w:r>
              <w:br/>
            </w:r>
            <w:r>
              <w:rPr>
                <w:sz w:val="16"/>
                <w:szCs w:val="16"/>
              </w:rPr>
              <w:t>Contact:</w:t>
            </w:r>
            <w:r>
              <w:br/>
            </w:r>
            <w:r>
              <w:rPr>
                <w:sz w:val="16"/>
                <w:szCs w:val="16"/>
              </w:rPr>
              <w:t>Lise Pape (United Kingdom)</w:t>
            </w:r>
          </w:p>
        </w:tc>
        <w:tc>
          <w:tcPr>
            <w:tcW w:w="6800" w:type="dxa"/>
            <w:noWrap/>
          </w:tcPr>
          <w:p w14:paraId="1C892AA4" w14:textId="77777777" w:rsidR="004A3F27" w:rsidRDefault="00FF26F3">
            <w:pPr>
              <w:pStyle w:val="noSpacing"/>
            </w:pPr>
            <w:r>
              <w:rPr>
                <w:sz w:val="18"/>
                <w:szCs w:val="18"/>
              </w:rPr>
              <w:t>FUNCTION-AI will develop an AI-enabled digital platform that transforms objective functional mobility assessment into clinical decision support for community-based healthcare. Building on clinically validated smart insole technology, the project will combine active mobility assessments, passive gait analytics, and explainable AI to identify functional decline earlier and support personalised interventions. We are seeking partners in AI, digital biomarkers, interoperability, clinical validation, and communit</w:t>
            </w:r>
            <w:r>
              <w:rPr>
                <w:sz w:val="18"/>
                <w:szCs w:val="18"/>
              </w:rPr>
              <w:t>y healthcare to accelerate scalable adoption across Hospital at Home, rehabilitation, falls prevention, and chronic disease management.</w:t>
            </w:r>
          </w:p>
        </w:tc>
        <w:tc>
          <w:tcPr>
            <w:tcW w:w="1600" w:type="dxa"/>
            <w:noWrap/>
          </w:tcPr>
          <w:p w14:paraId="55359DE2" w14:textId="77777777" w:rsidR="004A3F27" w:rsidRDefault="004A3F27">
            <w:pPr>
              <w:pStyle w:val="noSpacing"/>
            </w:pPr>
          </w:p>
        </w:tc>
      </w:tr>
      <w:tr w:rsidR="004A3F27" w14:paraId="0237758E" w14:textId="77777777">
        <w:trPr>
          <w:cantSplit/>
        </w:trPr>
        <w:tc>
          <w:tcPr>
            <w:tcW w:w="800" w:type="dxa"/>
            <w:noWrap/>
          </w:tcPr>
          <w:p w14:paraId="0AF57C79" w14:textId="77777777" w:rsidR="004A3F27" w:rsidRDefault="00FF26F3">
            <w:pPr>
              <w:pStyle w:val="noSpacing"/>
            </w:pPr>
            <w:r>
              <w:lastRenderedPageBreak/>
              <w:t>14:58</w:t>
            </w:r>
          </w:p>
        </w:tc>
        <w:tc>
          <w:tcPr>
            <w:tcW w:w="1600" w:type="dxa"/>
            <w:noWrap/>
          </w:tcPr>
          <w:p w14:paraId="06B4F13F" w14:textId="77777777" w:rsidR="004A3F27" w:rsidRDefault="00FF26F3">
            <w:pPr>
              <w:pStyle w:val="noSpacing"/>
            </w:pPr>
            <w:hyperlink r:id="rId13" w:history="1">
              <w:r>
                <w:rPr>
                  <w:color w:val="71BD54"/>
                  <w:u w:val="single"/>
                </w:rPr>
                <w:t>C2: CogniGENE</w:t>
              </w:r>
            </w:hyperlink>
            <w:r>
              <w:br/>
            </w:r>
            <w:r>
              <w:br/>
            </w:r>
            <w:r>
              <w:rPr>
                <w:sz w:val="16"/>
                <w:szCs w:val="16"/>
              </w:rPr>
              <w:t>Contact:</w:t>
            </w:r>
            <w:r>
              <w:br/>
            </w:r>
            <w:r>
              <w:rPr>
                <w:sz w:val="16"/>
                <w:szCs w:val="16"/>
              </w:rPr>
              <w:t>Mehmet Kaan İLDİZ (Türkiye)</w:t>
            </w:r>
          </w:p>
        </w:tc>
        <w:tc>
          <w:tcPr>
            <w:tcW w:w="6800" w:type="dxa"/>
            <w:noWrap/>
          </w:tcPr>
          <w:p w14:paraId="6697B5B5" w14:textId="77777777" w:rsidR="004A3F27" w:rsidRDefault="00FF26F3">
            <w:pPr>
              <w:pStyle w:val="noSpacing"/>
            </w:pPr>
            <w:r>
              <w:rPr>
                <w:sz w:val="18"/>
                <w:szCs w:val="18"/>
              </w:rPr>
              <w:t>CogniGene is a multimodal early-detection ecosystem for identifying subtle changes in cognitive and neuropsychiatric functioning. It combines genetic susceptibility, clinical records, cognitive assessments, speech features and IoT-based digital biomarkers collected through wearable and home-monitoring technologies. Personalised AI models analyse longitudinal changes in memory, attention, executive functioning, sleep, mood and daily behaviour. The platform supports earlier clinical assessment, remote monitor</w:t>
            </w:r>
            <w:r>
              <w:rPr>
                <w:sz w:val="18"/>
                <w:szCs w:val="18"/>
              </w:rPr>
              <w:t>ing and timely intervention while preserving data privacy through federated and explainable AI.</w:t>
            </w:r>
          </w:p>
        </w:tc>
        <w:tc>
          <w:tcPr>
            <w:tcW w:w="1600" w:type="dxa"/>
            <w:noWrap/>
          </w:tcPr>
          <w:p w14:paraId="6522C6F4" w14:textId="77777777" w:rsidR="004A3F27" w:rsidRDefault="004A3F27">
            <w:pPr>
              <w:pStyle w:val="noSpacing"/>
            </w:pPr>
          </w:p>
        </w:tc>
      </w:tr>
      <w:tr w:rsidR="004A3F27" w14:paraId="679E76E0" w14:textId="77777777">
        <w:trPr>
          <w:cantSplit/>
        </w:trPr>
        <w:tc>
          <w:tcPr>
            <w:tcW w:w="800" w:type="dxa"/>
            <w:noWrap/>
          </w:tcPr>
          <w:p w14:paraId="24A5862E" w14:textId="77777777" w:rsidR="004A3F27" w:rsidRDefault="00FF26F3">
            <w:pPr>
              <w:pStyle w:val="noSpacing"/>
            </w:pPr>
            <w:r>
              <w:t>15:02</w:t>
            </w:r>
          </w:p>
        </w:tc>
        <w:tc>
          <w:tcPr>
            <w:tcW w:w="1600" w:type="dxa"/>
            <w:noWrap/>
          </w:tcPr>
          <w:p w14:paraId="7D195206" w14:textId="77777777" w:rsidR="004A3F27" w:rsidRDefault="00FF26F3">
            <w:pPr>
              <w:pStyle w:val="noSpacing"/>
            </w:pPr>
            <w:hyperlink r:id="rId14" w:history="1">
              <w:r>
                <w:rPr>
                  <w:color w:val="71BD54"/>
                  <w:u w:val="single"/>
                </w:rPr>
                <w:t>C3: OPTIMUS</w:t>
              </w:r>
            </w:hyperlink>
            <w:r>
              <w:br/>
            </w:r>
            <w:r>
              <w:br/>
            </w:r>
            <w:r>
              <w:rPr>
                <w:sz w:val="16"/>
                <w:szCs w:val="16"/>
              </w:rPr>
              <w:t>Contact:</w:t>
            </w:r>
            <w:r>
              <w:br/>
            </w:r>
            <w:r>
              <w:rPr>
                <w:sz w:val="16"/>
                <w:szCs w:val="16"/>
              </w:rPr>
              <w:t>Haluk Gokmen (Türkiye)</w:t>
            </w:r>
          </w:p>
        </w:tc>
        <w:tc>
          <w:tcPr>
            <w:tcW w:w="6800" w:type="dxa"/>
            <w:noWrap/>
          </w:tcPr>
          <w:p w14:paraId="4F6CB3AE" w14:textId="77777777" w:rsidR="004A3F27" w:rsidRDefault="00FF26F3">
            <w:pPr>
              <w:pStyle w:val="noSpacing"/>
            </w:pPr>
            <w:r>
              <w:rPr>
                <w:sz w:val="18"/>
                <w:szCs w:val="18"/>
              </w:rPr>
              <w:t>OPTIMUS is an AI-powered health intelligence platform for proactive health monitoring, risk prevention, and performance optimization across different stages of life. By continuously analyzing multimodal data from wearables, physiological signals, ECG, activity, biomechanics, and relevant health information, it predicts emerging health, injury, and performance risks and enables personalized interventions. From athletes to active and older adults, OPTIMUS supports safer physical activity, cardiovascular healt</w:t>
            </w:r>
            <w:r>
              <w:rPr>
                <w:sz w:val="18"/>
                <w:szCs w:val="18"/>
              </w:rPr>
              <w:t>h, active ageing, and improved performance, helping people stay healthier, active, and independent for longer.</w:t>
            </w:r>
          </w:p>
        </w:tc>
        <w:tc>
          <w:tcPr>
            <w:tcW w:w="1600" w:type="dxa"/>
            <w:noWrap/>
          </w:tcPr>
          <w:p w14:paraId="1835EBA9" w14:textId="77777777" w:rsidR="004A3F27" w:rsidRDefault="004A3F27">
            <w:pPr>
              <w:pStyle w:val="noSpacing"/>
            </w:pPr>
          </w:p>
        </w:tc>
      </w:tr>
      <w:tr w:rsidR="004A3F27" w14:paraId="2D0F5C38" w14:textId="77777777">
        <w:trPr>
          <w:cantSplit/>
        </w:trPr>
        <w:tc>
          <w:tcPr>
            <w:tcW w:w="800" w:type="dxa"/>
            <w:noWrap/>
          </w:tcPr>
          <w:p w14:paraId="45437054" w14:textId="77777777" w:rsidR="004A3F27" w:rsidRDefault="00FF26F3">
            <w:pPr>
              <w:pStyle w:val="noSpacing"/>
            </w:pPr>
            <w:r>
              <w:t>15:06</w:t>
            </w:r>
          </w:p>
        </w:tc>
        <w:tc>
          <w:tcPr>
            <w:tcW w:w="1600" w:type="dxa"/>
            <w:noWrap/>
          </w:tcPr>
          <w:p w14:paraId="47391125" w14:textId="77777777" w:rsidR="004A3F27" w:rsidRDefault="00FF26F3">
            <w:pPr>
              <w:pStyle w:val="noSpacing"/>
            </w:pPr>
            <w:hyperlink r:id="rId15" w:history="1">
              <w:r>
                <w:rPr>
                  <w:color w:val="71BD54"/>
                  <w:u w:val="single"/>
                </w:rPr>
                <w:t>C5: CoCare</w:t>
              </w:r>
            </w:hyperlink>
            <w:r>
              <w:br/>
            </w:r>
            <w:r>
              <w:br/>
            </w:r>
            <w:r>
              <w:rPr>
                <w:sz w:val="16"/>
                <w:szCs w:val="16"/>
              </w:rPr>
              <w:t>Contact:</w:t>
            </w:r>
            <w:r>
              <w:br/>
            </w:r>
            <w:r>
              <w:rPr>
                <w:sz w:val="16"/>
                <w:szCs w:val="16"/>
              </w:rPr>
              <w:t>Ahmet  Fatih Deveci (Türkiye)</w:t>
            </w:r>
          </w:p>
        </w:tc>
        <w:tc>
          <w:tcPr>
            <w:tcW w:w="6800" w:type="dxa"/>
            <w:noWrap/>
          </w:tcPr>
          <w:p w14:paraId="73538EFB" w14:textId="77777777" w:rsidR="004A3F27" w:rsidRDefault="00FF26F3">
            <w:pPr>
              <w:pStyle w:val="noSpacing"/>
            </w:pPr>
            <w:r>
              <w:rPr>
                <w:sz w:val="18"/>
                <w:szCs w:val="18"/>
              </w:rPr>
              <w:t>CoCare is a privacy-aware, wearable-connected platform for continuous cardiopulmonary monitoring and rehabilitation. Combining smart ring and wearable vital-sign monitoring with remote physiotherapy protocols, it gamifies rehabilitation across cardiovascular and respiratory conditions, including COPD, asthma, arrhythmia, post-MI recovery, and post-cardiac-surgery rehabilitation. The platform also enables privacy-preserving, cross-border AI model training without centralizing sensitive patient data. CoCare b</w:t>
            </w:r>
            <w:r>
              <w:rPr>
                <w:sz w:val="18"/>
                <w:szCs w:val="18"/>
              </w:rPr>
              <w:t>ridges clinical and home settings, giving clinicians continuous visibility into recovery while patients follow guided, engaging exercise plans remotely.</w:t>
            </w:r>
          </w:p>
        </w:tc>
        <w:tc>
          <w:tcPr>
            <w:tcW w:w="1600" w:type="dxa"/>
            <w:noWrap/>
          </w:tcPr>
          <w:p w14:paraId="67A12B84" w14:textId="77777777" w:rsidR="004A3F27" w:rsidRDefault="004A3F27">
            <w:pPr>
              <w:pStyle w:val="noSpacing"/>
            </w:pPr>
          </w:p>
        </w:tc>
      </w:tr>
      <w:tr w:rsidR="004A3F27" w14:paraId="5F3DACB2" w14:textId="77777777">
        <w:trPr>
          <w:cantSplit/>
        </w:trPr>
        <w:tc>
          <w:tcPr>
            <w:tcW w:w="800" w:type="dxa"/>
            <w:noWrap/>
          </w:tcPr>
          <w:p w14:paraId="41518E16" w14:textId="77777777" w:rsidR="004A3F27" w:rsidRDefault="00FF26F3">
            <w:pPr>
              <w:pStyle w:val="noSpacing"/>
            </w:pPr>
            <w:r>
              <w:t>15:10</w:t>
            </w:r>
          </w:p>
        </w:tc>
        <w:tc>
          <w:tcPr>
            <w:tcW w:w="1600" w:type="dxa"/>
            <w:noWrap/>
          </w:tcPr>
          <w:p w14:paraId="70C4AF3E" w14:textId="77777777" w:rsidR="004A3F27" w:rsidRDefault="00FF26F3">
            <w:pPr>
              <w:pStyle w:val="noSpacing"/>
            </w:pPr>
            <w:hyperlink r:id="rId16" w:history="1">
              <w:r>
                <w:rPr>
                  <w:color w:val="71BD54"/>
                  <w:u w:val="single"/>
                </w:rPr>
                <w:t>C6: KENNIS</w:t>
              </w:r>
            </w:hyperlink>
            <w:r>
              <w:br/>
            </w:r>
            <w:r>
              <w:br/>
            </w:r>
            <w:r>
              <w:rPr>
                <w:sz w:val="16"/>
                <w:szCs w:val="16"/>
              </w:rPr>
              <w:t>Contact:</w:t>
            </w:r>
            <w:r>
              <w:br/>
            </w:r>
            <w:r>
              <w:rPr>
                <w:sz w:val="16"/>
                <w:szCs w:val="16"/>
              </w:rPr>
              <w:t>Stefano Todde (Türkiye)</w:t>
            </w:r>
          </w:p>
        </w:tc>
        <w:tc>
          <w:tcPr>
            <w:tcW w:w="6800" w:type="dxa"/>
            <w:noWrap/>
          </w:tcPr>
          <w:p w14:paraId="4483C1C7" w14:textId="77777777" w:rsidR="004A3F27" w:rsidRDefault="00FF26F3">
            <w:pPr>
              <w:pStyle w:val="noSpacing"/>
            </w:pPr>
            <w:r>
              <w:rPr>
                <w:sz w:val="18"/>
                <w:szCs w:val="18"/>
              </w:rPr>
              <w:t>KENNIS is a scalable AI-supported interpretation middleware that transforms complex health data (lab results, biomarkers, remote monitoring outputs) into contextualised, explainable, and understandable outputs for patients and non-specialist users. Positioned as a non-diagnostic interpretation layer between raw health data systems and user-facing platforms, KENNIS integrates via API into existing digital health infrastructures. Currently at MVP stage (TRL 3-4), the project targets industrialisation, interop</w:t>
            </w:r>
            <w:r>
              <w:rPr>
                <w:sz w:val="18"/>
                <w:szCs w:val="18"/>
              </w:rPr>
              <w:t>erability (FHIR/HL7), and pilot-ready validation (TRL 5-6)</w:t>
            </w:r>
          </w:p>
        </w:tc>
        <w:tc>
          <w:tcPr>
            <w:tcW w:w="1600" w:type="dxa"/>
            <w:noWrap/>
          </w:tcPr>
          <w:p w14:paraId="0DADCA7C" w14:textId="77777777" w:rsidR="004A3F27" w:rsidRDefault="004A3F27">
            <w:pPr>
              <w:pStyle w:val="noSpacing"/>
            </w:pPr>
          </w:p>
        </w:tc>
      </w:tr>
      <w:tr w:rsidR="004A3F27" w14:paraId="7359AF37" w14:textId="77777777">
        <w:trPr>
          <w:cantSplit/>
        </w:trPr>
        <w:tc>
          <w:tcPr>
            <w:tcW w:w="800" w:type="dxa"/>
            <w:noWrap/>
          </w:tcPr>
          <w:p w14:paraId="5C17049A" w14:textId="77777777" w:rsidR="004A3F27" w:rsidRDefault="00FF26F3">
            <w:pPr>
              <w:pStyle w:val="noSpacing"/>
            </w:pPr>
            <w:r>
              <w:t>15:14</w:t>
            </w:r>
          </w:p>
        </w:tc>
        <w:tc>
          <w:tcPr>
            <w:tcW w:w="1600" w:type="dxa"/>
            <w:noWrap/>
          </w:tcPr>
          <w:p w14:paraId="7A185CE9" w14:textId="77777777" w:rsidR="004A3F27" w:rsidRDefault="00FF26F3">
            <w:pPr>
              <w:pStyle w:val="noSpacing"/>
            </w:pPr>
            <w:hyperlink r:id="rId17" w:history="1">
              <w:r>
                <w:rPr>
                  <w:color w:val="71BD54"/>
                  <w:u w:val="single"/>
                </w:rPr>
                <w:t>C8: Bio-curity 2.0</w:t>
              </w:r>
            </w:hyperlink>
            <w:r>
              <w:br/>
            </w:r>
            <w:r>
              <w:br/>
            </w:r>
            <w:r>
              <w:rPr>
                <w:sz w:val="16"/>
                <w:szCs w:val="16"/>
              </w:rPr>
              <w:t>Contact:</w:t>
            </w:r>
            <w:r>
              <w:br/>
            </w:r>
            <w:r>
              <w:rPr>
                <w:sz w:val="16"/>
                <w:szCs w:val="16"/>
              </w:rPr>
              <w:t>Joanna Morozowska (The Netherlands)</w:t>
            </w:r>
          </w:p>
        </w:tc>
        <w:tc>
          <w:tcPr>
            <w:tcW w:w="6800" w:type="dxa"/>
            <w:noWrap/>
          </w:tcPr>
          <w:p w14:paraId="13B1561A" w14:textId="77777777" w:rsidR="004A3F27" w:rsidRDefault="00FF26F3">
            <w:pPr>
              <w:pStyle w:val="noSpacing"/>
            </w:pPr>
            <w:r>
              <w:rPr>
                <w:sz w:val="18"/>
                <w:szCs w:val="18"/>
              </w:rPr>
              <w:t>Bio-curity 2.0 builds certification-ready data infrastructure for AI-enabled medical devices. It combines privacy-preserving data enrichment, a machine-readable Certainty Framework, and lifecycle-aware verifiable AI to turn real-world sensor and AI output into reusable regulatory evidence. Validated through five national demonstrators covering cardiometabolic monitoring, hospital data custodianship, and medication safety, the project lowers certification costs for MedTech SMEs and enables faster, EHDS-align</w:t>
            </w:r>
            <w:r>
              <w:rPr>
                <w:sz w:val="18"/>
                <w:szCs w:val="18"/>
              </w:rPr>
              <w:t>ed, compliant data sharing across Europe's digital health ecosystem.</w:t>
            </w:r>
          </w:p>
        </w:tc>
        <w:tc>
          <w:tcPr>
            <w:tcW w:w="1600" w:type="dxa"/>
            <w:noWrap/>
          </w:tcPr>
          <w:p w14:paraId="1540D5E0" w14:textId="77777777" w:rsidR="004A3F27" w:rsidRDefault="004A3F27">
            <w:pPr>
              <w:pStyle w:val="noSpacing"/>
            </w:pPr>
          </w:p>
        </w:tc>
      </w:tr>
      <w:tr w:rsidR="004A3F27" w14:paraId="6E8D9355" w14:textId="77777777">
        <w:trPr>
          <w:cantSplit/>
        </w:trPr>
        <w:tc>
          <w:tcPr>
            <w:tcW w:w="800" w:type="dxa"/>
            <w:noWrap/>
          </w:tcPr>
          <w:p w14:paraId="52A3BDB3" w14:textId="77777777" w:rsidR="004A3F27" w:rsidRDefault="00FF26F3">
            <w:pPr>
              <w:pStyle w:val="noSpacing"/>
            </w:pPr>
            <w:r>
              <w:lastRenderedPageBreak/>
              <w:t>15:18</w:t>
            </w:r>
          </w:p>
        </w:tc>
        <w:tc>
          <w:tcPr>
            <w:tcW w:w="1600" w:type="dxa"/>
            <w:noWrap/>
          </w:tcPr>
          <w:p w14:paraId="6EB16B71" w14:textId="77777777" w:rsidR="004A3F27" w:rsidRDefault="00FF26F3">
            <w:pPr>
              <w:pStyle w:val="noSpacing"/>
            </w:pPr>
            <w:hyperlink r:id="rId18" w:history="1">
              <w:r>
                <w:rPr>
                  <w:color w:val="71BD54"/>
                  <w:u w:val="single"/>
                </w:rPr>
                <w:t>C12: SIGHT</w:t>
              </w:r>
            </w:hyperlink>
            <w:r>
              <w:br/>
            </w:r>
            <w:r>
              <w:br/>
            </w:r>
            <w:r>
              <w:rPr>
                <w:sz w:val="16"/>
                <w:szCs w:val="16"/>
              </w:rPr>
              <w:t>Contact:</w:t>
            </w:r>
            <w:r>
              <w:br/>
            </w:r>
            <w:r>
              <w:rPr>
                <w:sz w:val="16"/>
                <w:szCs w:val="16"/>
              </w:rPr>
              <w:t>Keith Loo (Canada)</w:t>
            </w:r>
          </w:p>
        </w:tc>
        <w:tc>
          <w:tcPr>
            <w:tcW w:w="6800" w:type="dxa"/>
            <w:noWrap/>
          </w:tcPr>
          <w:p w14:paraId="2773D214" w14:textId="77777777" w:rsidR="004A3F27" w:rsidRDefault="00FF26F3">
            <w:pPr>
              <w:pStyle w:val="noSpacing"/>
            </w:pPr>
            <w:r>
              <w:rPr>
                <w:sz w:val="18"/>
                <w:szCs w:val="18"/>
              </w:rPr>
              <w:t xml:space="preserve">### The ProblemWound and skin healthcare suffers from delayed triaging and inconsistent monitoring, inconsistent or incomplete documentation, and fragmentation across hospitals, long-term care, and home care. Specialist access is limited and little longitudinal real-world evidence exists to guide therapy or research. In addition, individuals with darker skin tones are underdiagnosed due to "skin tone bias" - a medical phenomena that makes it more difficult to assess dermatological tell-tale symptoms due to </w:t>
            </w:r>
            <w:r>
              <w:rPr>
                <w:sz w:val="18"/>
                <w:szCs w:val="18"/>
              </w:rPr>
              <w:t>the human eye's inability to discern erythema in darker skin tones.### The SolutionSIGHT lets a clinician photograph a wound or skin condition at the point of care on a data &amp; AI-powered smartphone or connected device. Computer vision models generate a tissue mask, then compute condition-specific measurements from it.**For wounds:*** Tissue segmentation into necrotic, slough, granulation, and other tissue* Each class reported as a proportion of the wound bed* Total wound area**For pigmented lesions:*** Asym</w:t>
            </w:r>
            <w:r>
              <w:rPr>
                <w:sz w:val="18"/>
                <w:szCs w:val="18"/>
              </w:rPr>
              <w:t>metry score and border irregularity* Detected colour count and distribution* Lesion diameter**For inflammatory skin conditions such as eczema and psoriasis:*** Enhanced erythema visualisation from the same point-of-care photograph* Heat-map and localisation outputs supporting explainable risk stratification### Workflow and EvidenceResults are written into the clinician's existing record system rather than a separate portal, so assessment, documentation, and referral occur inside the workflow already in use.</w:t>
            </w:r>
            <w:r>
              <w:rPr>
                <w:sz w:val="18"/>
                <w:szCs w:val="18"/>
              </w:rPr>
              <w:t xml:space="preserve"> Repeat images build a time-stamped series, a healing or progression trajectory reviewable remotely, accumulating on a cloud-based interoperable platform into a real-world evidence asset for pharmaceutical and clinical research.### Project ScopeThe project develops and clinically validates:* The computer vision models* The embedded decision-support logic* The integration layer connecting to national health-record infrastructureDelivery requires ethics-approved clinical data access, multi-site validation acr</w:t>
            </w:r>
            <w:r>
              <w:rPr>
                <w:sz w:val="18"/>
                <w:szCs w:val="18"/>
              </w:rPr>
              <w:t>oss participating countries, and the reimbursement pathway in each market.</w:t>
            </w:r>
          </w:p>
        </w:tc>
        <w:tc>
          <w:tcPr>
            <w:tcW w:w="1600" w:type="dxa"/>
            <w:noWrap/>
          </w:tcPr>
          <w:p w14:paraId="214EFEB1" w14:textId="77777777" w:rsidR="004A3F27" w:rsidRDefault="004A3F27">
            <w:pPr>
              <w:pStyle w:val="noSpacing"/>
            </w:pPr>
          </w:p>
        </w:tc>
      </w:tr>
      <w:tr w:rsidR="004A3F27" w14:paraId="5401EB05" w14:textId="77777777">
        <w:trPr>
          <w:cantSplit/>
        </w:trPr>
        <w:tc>
          <w:tcPr>
            <w:tcW w:w="800" w:type="dxa"/>
            <w:noWrap/>
          </w:tcPr>
          <w:p w14:paraId="485A0536" w14:textId="77777777" w:rsidR="004A3F27" w:rsidRDefault="00FF26F3">
            <w:pPr>
              <w:pStyle w:val="noSpacing"/>
            </w:pPr>
            <w:r>
              <w:t>15:22</w:t>
            </w:r>
          </w:p>
        </w:tc>
        <w:tc>
          <w:tcPr>
            <w:tcW w:w="1600" w:type="dxa"/>
            <w:noWrap/>
          </w:tcPr>
          <w:p w14:paraId="4086C0A9" w14:textId="77777777" w:rsidR="004A3F27" w:rsidRDefault="00FF26F3">
            <w:pPr>
              <w:pStyle w:val="noSpacing"/>
            </w:pPr>
            <w:hyperlink r:id="rId19" w:history="1">
              <w:r>
                <w:rPr>
                  <w:color w:val="71BD54"/>
                  <w:u w:val="single"/>
                </w:rPr>
                <w:t>D1: B-CHARGE</w:t>
              </w:r>
            </w:hyperlink>
            <w:r>
              <w:br/>
            </w:r>
            <w:r>
              <w:br/>
            </w:r>
            <w:r>
              <w:rPr>
                <w:sz w:val="16"/>
                <w:szCs w:val="16"/>
              </w:rPr>
              <w:t>Contact:</w:t>
            </w:r>
            <w:r>
              <w:br/>
            </w:r>
            <w:r>
              <w:rPr>
                <w:sz w:val="16"/>
                <w:szCs w:val="16"/>
              </w:rPr>
              <w:t>Ezgi Şanlı (Türkiye)</w:t>
            </w:r>
          </w:p>
        </w:tc>
        <w:tc>
          <w:tcPr>
            <w:tcW w:w="6800" w:type="dxa"/>
            <w:noWrap/>
          </w:tcPr>
          <w:p w14:paraId="0C99D748" w14:textId="77777777" w:rsidR="004A3F27" w:rsidRDefault="00FF26F3">
            <w:pPr>
              <w:pStyle w:val="noSpacing"/>
            </w:pPr>
            <w:r>
              <w:rPr>
                <w:sz w:val="18"/>
                <w:szCs w:val="18"/>
              </w:rPr>
              <w:t xml:space="preserve">The rapid electrification of transport fleets introduces complex challenges in charging coordination, energy efficiency, and battery sustainability. B-CHARGE develops a prototype decision-support toolkit that enables transport operators and system integrators to evaluate battery-aware charging strategies using existing fleet and charging data. The system integrates heterogeneous data sources through open interfaces, incorporates an advanced data preprocessing layer to mitigate telemetry noise, and utilizes </w:t>
            </w:r>
            <w:r>
              <w:rPr>
                <w:sz w:val="18"/>
                <w:szCs w:val="18"/>
              </w:rPr>
              <w:t>a semi-empirical hybrid modeling framework informed by battery ageing mechanisms to derive indicative battery stress profiles. It enables scenario-based comparison of charging strategies without relying on proprietary battery management systems or real-time control, supporting realistic, data-driven evaluation of charging strategies.</w:t>
            </w:r>
          </w:p>
        </w:tc>
        <w:tc>
          <w:tcPr>
            <w:tcW w:w="1600" w:type="dxa"/>
            <w:noWrap/>
          </w:tcPr>
          <w:p w14:paraId="04E4AE5D" w14:textId="77777777" w:rsidR="004A3F27" w:rsidRDefault="004A3F27">
            <w:pPr>
              <w:pStyle w:val="noSpacing"/>
            </w:pPr>
          </w:p>
        </w:tc>
      </w:tr>
      <w:tr w:rsidR="004A3F27" w14:paraId="33D53CDC" w14:textId="77777777">
        <w:trPr>
          <w:cantSplit/>
        </w:trPr>
        <w:tc>
          <w:tcPr>
            <w:tcW w:w="800" w:type="dxa"/>
            <w:noWrap/>
          </w:tcPr>
          <w:p w14:paraId="68A1F25C" w14:textId="77777777" w:rsidR="004A3F27" w:rsidRDefault="00FF26F3">
            <w:pPr>
              <w:pStyle w:val="noSpacing"/>
            </w:pPr>
            <w:r>
              <w:t>15:26</w:t>
            </w:r>
          </w:p>
        </w:tc>
        <w:tc>
          <w:tcPr>
            <w:tcW w:w="1600" w:type="dxa"/>
            <w:noWrap/>
          </w:tcPr>
          <w:p w14:paraId="27DBA191" w14:textId="77777777" w:rsidR="004A3F27" w:rsidRDefault="00FF26F3">
            <w:pPr>
              <w:pStyle w:val="noSpacing"/>
            </w:pPr>
            <w:hyperlink r:id="rId20" w:history="1">
              <w:r>
                <w:rPr>
                  <w:color w:val="71BD54"/>
                  <w:u w:val="single"/>
                </w:rPr>
                <w:t>D4: AFTERCARE</w:t>
              </w:r>
            </w:hyperlink>
            <w:r>
              <w:br/>
            </w:r>
            <w:r>
              <w:br/>
            </w:r>
            <w:r>
              <w:rPr>
                <w:sz w:val="16"/>
                <w:szCs w:val="16"/>
              </w:rPr>
              <w:t>Contact:</w:t>
            </w:r>
            <w:r>
              <w:br/>
            </w:r>
            <w:r>
              <w:rPr>
                <w:sz w:val="16"/>
                <w:szCs w:val="16"/>
              </w:rPr>
              <w:t>Aydin Can Polatkan (Türkiye)</w:t>
            </w:r>
          </w:p>
        </w:tc>
        <w:tc>
          <w:tcPr>
            <w:tcW w:w="6800" w:type="dxa"/>
            <w:noWrap/>
          </w:tcPr>
          <w:p w14:paraId="2FD211F7" w14:textId="77777777" w:rsidR="004A3F27" w:rsidRDefault="00FF26F3">
            <w:pPr>
              <w:pStyle w:val="noSpacing"/>
            </w:pPr>
            <w:r>
              <w:rPr>
                <w:sz w:val="18"/>
                <w:szCs w:val="18"/>
              </w:rPr>
              <w:t>AFTERCARE addresses a simple but growing problem: what happens to a connected product when its manufacturer disappears?Connected products increasingly depend on the companies that make them. When a manufacturer disappears, cloud services, security updates, repair information and even embedded AI can disappear with it. AFTERCARE makes continuity a product property. It combines a machine readable continuity passport with AI-assisted recovery of interfaces and protocols, mechanisms to transfer update and servi</w:t>
            </w:r>
            <w:r>
              <w:rPr>
                <w:sz w:val="18"/>
                <w:szCs w:val="18"/>
              </w:rPr>
              <w:t>ce authority to verified successors, and federated intelligence for fleet health. The approach will be validated across e-bikes, shared mobility, EV charging and connected devices.The result will be an open reference architecture, continuity-passport schema, AI-assisted recovery methods, successor-authority mechanisms and fleet-health demonstrators that can support product lifetime, repairability, resale and second-life use.</w:t>
            </w:r>
          </w:p>
        </w:tc>
        <w:tc>
          <w:tcPr>
            <w:tcW w:w="1600" w:type="dxa"/>
            <w:noWrap/>
          </w:tcPr>
          <w:p w14:paraId="290805DA" w14:textId="77777777" w:rsidR="004A3F27" w:rsidRDefault="004A3F27">
            <w:pPr>
              <w:pStyle w:val="noSpacing"/>
            </w:pPr>
          </w:p>
        </w:tc>
      </w:tr>
      <w:tr w:rsidR="004A3F27" w14:paraId="41F166C6" w14:textId="77777777">
        <w:trPr>
          <w:cantSplit/>
        </w:trPr>
        <w:tc>
          <w:tcPr>
            <w:tcW w:w="800" w:type="dxa"/>
            <w:noWrap/>
          </w:tcPr>
          <w:p w14:paraId="168C9466" w14:textId="77777777" w:rsidR="004A3F27" w:rsidRDefault="00FF26F3">
            <w:pPr>
              <w:pStyle w:val="noSpacing"/>
            </w:pPr>
            <w:r>
              <w:lastRenderedPageBreak/>
              <w:t>15:30</w:t>
            </w:r>
          </w:p>
        </w:tc>
        <w:tc>
          <w:tcPr>
            <w:tcW w:w="1600" w:type="dxa"/>
            <w:noWrap/>
          </w:tcPr>
          <w:p w14:paraId="2A25C3AE" w14:textId="77777777" w:rsidR="004A3F27" w:rsidRDefault="00FF26F3">
            <w:pPr>
              <w:pStyle w:val="noSpacing"/>
            </w:pPr>
            <w:hyperlink r:id="rId21" w:history="1">
              <w:r>
                <w:rPr>
                  <w:color w:val="71BD54"/>
                  <w:u w:val="single"/>
                </w:rPr>
                <w:t>E8: EXPERT</w:t>
              </w:r>
            </w:hyperlink>
            <w:r>
              <w:br/>
            </w:r>
            <w:r>
              <w:br/>
            </w:r>
            <w:r>
              <w:rPr>
                <w:sz w:val="16"/>
                <w:szCs w:val="16"/>
              </w:rPr>
              <w:t>Contact:</w:t>
            </w:r>
            <w:r>
              <w:br/>
            </w:r>
            <w:r>
              <w:rPr>
                <w:sz w:val="16"/>
                <w:szCs w:val="16"/>
              </w:rPr>
              <w:t>Hoai My Van (Germany)</w:t>
            </w:r>
          </w:p>
        </w:tc>
        <w:tc>
          <w:tcPr>
            <w:tcW w:w="6800" w:type="dxa"/>
            <w:noWrap/>
          </w:tcPr>
          <w:p w14:paraId="05D0ADA6" w14:textId="77777777" w:rsidR="004A3F27" w:rsidRDefault="00FF26F3">
            <w:pPr>
              <w:pStyle w:val="noSpacing"/>
            </w:pPr>
            <w:r>
              <w:rPr>
                <w:sz w:val="18"/>
                <w:szCs w:val="18"/>
              </w:rPr>
              <w:t>The industry is currently faced with a shortage of skilled workers and an upcoming retirement wave. Currently, knowledge management solutions are insufficient when it comes to retaining expertise, which impedes efficient knowledge transfer. At the same time, processes and systems are getting increasingly complex, which requires further support for workers.To address these challenges, EXPERT – Explainable Processing and Expert Reasoning for agenTic systems – proposes a dependable and trustworthy AI agent-bas</w:t>
            </w:r>
            <w:r>
              <w:rPr>
                <w:sz w:val="18"/>
                <w:szCs w:val="18"/>
              </w:rPr>
              <w:t>ed worker assistant system. With the platform for modular multi-agent system, various applications, such as engineering or troubleshooting support, can be addressed. The solution comprises four layers, with focus on 1) human-machine interaction concepts that ensure trust and engagement, 2) a framework for dependable and explainable multi-agent systems, 3) specialization of AI agents through context enrichment, lightweight finetuning, mathematical operations, or symbolic reasoning, and 4) approaches for capt</w:t>
            </w:r>
            <w:r>
              <w:rPr>
                <w:sz w:val="18"/>
                <w:szCs w:val="18"/>
              </w:rPr>
              <w:t>uring and modelling expert knowledge.</w:t>
            </w:r>
          </w:p>
        </w:tc>
        <w:tc>
          <w:tcPr>
            <w:tcW w:w="1600" w:type="dxa"/>
            <w:noWrap/>
          </w:tcPr>
          <w:p w14:paraId="31A27F10" w14:textId="77777777" w:rsidR="004A3F27" w:rsidRDefault="004A3F27">
            <w:pPr>
              <w:pStyle w:val="noSpacing"/>
            </w:pPr>
          </w:p>
        </w:tc>
      </w:tr>
      <w:tr w:rsidR="004A3F27" w14:paraId="30C14D77" w14:textId="77777777">
        <w:trPr>
          <w:cantSplit/>
        </w:trPr>
        <w:tc>
          <w:tcPr>
            <w:tcW w:w="800" w:type="dxa"/>
            <w:noWrap/>
          </w:tcPr>
          <w:p w14:paraId="65008B3A" w14:textId="77777777" w:rsidR="004A3F27" w:rsidRDefault="00FF26F3">
            <w:pPr>
              <w:pStyle w:val="noSpacing"/>
            </w:pPr>
            <w:r>
              <w:t>15:34</w:t>
            </w:r>
          </w:p>
        </w:tc>
        <w:tc>
          <w:tcPr>
            <w:tcW w:w="1600" w:type="dxa"/>
            <w:noWrap/>
          </w:tcPr>
          <w:p w14:paraId="60EA0CFB" w14:textId="77777777" w:rsidR="004A3F27" w:rsidRDefault="00FF26F3">
            <w:pPr>
              <w:pStyle w:val="noSpacing"/>
            </w:pPr>
            <w:hyperlink r:id="rId22" w:history="1">
              <w:r>
                <w:rPr>
                  <w:color w:val="71BD54"/>
                  <w:u w:val="single"/>
                </w:rPr>
                <w:t>G1: QuantSIM</w:t>
              </w:r>
            </w:hyperlink>
            <w:r>
              <w:br/>
            </w:r>
            <w:r>
              <w:br/>
            </w:r>
            <w:r>
              <w:rPr>
                <w:sz w:val="16"/>
                <w:szCs w:val="16"/>
              </w:rPr>
              <w:t>Contact:</w:t>
            </w:r>
            <w:r>
              <w:br/>
            </w:r>
            <w:r>
              <w:rPr>
                <w:sz w:val="16"/>
                <w:szCs w:val="16"/>
              </w:rPr>
              <w:t>Bram Stalknecht (The Netherlands)</w:t>
            </w:r>
          </w:p>
        </w:tc>
        <w:tc>
          <w:tcPr>
            <w:tcW w:w="6800" w:type="dxa"/>
            <w:noWrap/>
          </w:tcPr>
          <w:p w14:paraId="0E00DC04" w14:textId="77777777" w:rsidR="004A3F27" w:rsidRDefault="00FF26F3">
            <w:pPr>
              <w:pStyle w:val="noSpacing"/>
            </w:pPr>
            <w:r>
              <w:rPr>
                <w:sz w:val="18"/>
                <w:szCs w:val="18"/>
              </w:rPr>
              <w:t>QuantSIM ambition is to develop the first quantum‑accelerated multiphysics simulation platform designed for industrial engineering. By combining quantum algorithms, AI‑driven surrogate modelling, and high‑performance classical solvers, QuantSIM will enable engineering teams to explore complex design spaces, run high‑fidelity simulations, and optimise hardware systems 1.000× faster than today’s High Perfomance Computing (HPC)‑only workflows.The project delivers a hybrid quantum‑classical quantum emulator sim</w:t>
            </w:r>
            <w:r>
              <w:rPr>
                <w:sz w:val="18"/>
                <w:szCs w:val="18"/>
              </w:rPr>
              <w:t>ulation engine, deployable in cloud and on‑premise environments, and validated through real industrial use cases in high end machinery OEM, semiconductors, energy systems, aerospace, automotive, and advanced manufacturing. QuantSIM is engineering on steriods.</w:t>
            </w:r>
          </w:p>
        </w:tc>
        <w:tc>
          <w:tcPr>
            <w:tcW w:w="1600" w:type="dxa"/>
            <w:noWrap/>
          </w:tcPr>
          <w:p w14:paraId="52054F55" w14:textId="77777777" w:rsidR="004A3F27" w:rsidRDefault="004A3F27">
            <w:pPr>
              <w:pStyle w:val="noSpacing"/>
            </w:pPr>
          </w:p>
        </w:tc>
      </w:tr>
      <w:tr w:rsidR="004A3F27" w14:paraId="6CE8FE18" w14:textId="77777777">
        <w:trPr>
          <w:cantSplit/>
        </w:trPr>
        <w:tc>
          <w:tcPr>
            <w:tcW w:w="800" w:type="dxa"/>
            <w:noWrap/>
          </w:tcPr>
          <w:p w14:paraId="02C5A30E" w14:textId="77777777" w:rsidR="004A3F27" w:rsidRDefault="00FF26F3">
            <w:pPr>
              <w:pStyle w:val="noSpacing"/>
            </w:pPr>
            <w:r>
              <w:t>15:38</w:t>
            </w:r>
          </w:p>
        </w:tc>
        <w:tc>
          <w:tcPr>
            <w:tcW w:w="1600" w:type="dxa"/>
            <w:noWrap/>
          </w:tcPr>
          <w:p w14:paraId="730CF4DF" w14:textId="77777777" w:rsidR="004A3F27" w:rsidRDefault="00FF26F3">
            <w:pPr>
              <w:pStyle w:val="noSpacing"/>
            </w:pPr>
            <w:hyperlink r:id="rId23" w:history="1">
              <w:r>
                <w:rPr>
                  <w:color w:val="71BD54"/>
                  <w:u w:val="single"/>
                </w:rPr>
                <w:t>G2: ASTRID</w:t>
              </w:r>
            </w:hyperlink>
            <w:r>
              <w:br/>
            </w:r>
            <w:r>
              <w:br/>
            </w:r>
            <w:r>
              <w:rPr>
                <w:sz w:val="16"/>
                <w:szCs w:val="16"/>
              </w:rPr>
              <w:t>Contact:</w:t>
            </w:r>
            <w:r>
              <w:br/>
            </w:r>
            <w:r>
              <w:rPr>
                <w:sz w:val="16"/>
                <w:szCs w:val="16"/>
              </w:rPr>
              <w:t>Eduard Paul Enoiu (Sweden)</w:t>
            </w:r>
          </w:p>
        </w:tc>
        <w:tc>
          <w:tcPr>
            <w:tcW w:w="6800" w:type="dxa"/>
            <w:noWrap/>
          </w:tcPr>
          <w:p w14:paraId="531B1655" w14:textId="77777777" w:rsidR="004A3F27" w:rsidRDefault="00FF26F3">
            <w:pPr>
              <w:pStyle w:val="noSpacing"/>
            </w:pPr>
            <w:r>
              <w:rPr>
                <w:sz w:val="18"/>
                <w:szCs w:val="18"/>
              </w:rPr>
              <w:t>ASTRID will develop adaptive AI-based software engineering agents for trustworthy continuous software development and compliance. The agents will support engineering activities such as requirements analysis, change impact analysis, code review, test generation and selection, static and dynamic analysis, documentation, compliance checking, evidence management, and release decision support.The project will investigate how agentic AI can be integrated into industrial DevOps and CI/CD pipelines while preserving</w:t>
            </w:r>
            <w:r>
              <w:rPr>
                <w:sz w:val="18"/>
                <w:szCs w:val="18"/>
              </w:rPr>
              <w:t xml:space="preserve"> human control, auditability, traceability, and trust. ASTRID will combine information from requirements, code repositories, tests, models, logs, runtime monitoring, coverage, risk models, standards, organizational policies, and human feedback to support continuous assurance of software quality and compliance.The project targets software-intensive systems in domains such as automotive, railway, industrial automation, smart mobility, energy, telecom, public-sector digitalization, and safety-critical embedded</w:t>
            </w:r>
            <w:r>
              <w:rPr>
                <w:sz w:val="18"/>
                <w:szCs w:val="18"/>
              </w:rPr>
              <w:t xml:space="preserve"> systems.</w:t>
            </w:r>
          </w:p>
        </w:tc>
        <w:tc>
          <w:tcPr>
            <w:tcW w:w="1600" w:type="dxa"/>
            <w:noWrap/>
          </w:tcPr>
          <w:p w14:paraId="5134AD4B" w14:textId="77777777" w:rsidR="004A3F27" w:rsidRDefault="004A3F27">
            <w:pPr>
              <w:pStyle w:val="noSpacing"/>
            </w:pPr>
          </w:p>
        </w:tc>
      </w:tr>
      <w:tr w:rsidR="004A3F27" w14:paraId="6C459114" w14:textId="77777777">
        <w:trPr>
          <w:cantSplit/>
        </w:trPr>
        <w:tc>
          <w:tcPr>
            <w:tcW w:w="800" w:type="dxa"/>
            <w:noWrap/>
          </w:tcPr>
          <w:p w14:paraId="4168D57B" w14:textId="77777777" w:rsidR="004A3F27" w:rsidRDefault="00FF26F3">
            <w:pPr>
              <w:pStyle w:val="noSpacing"/>
            </w:pPr>
            <w:r>
              <w:t>15:42</w:t>
            </w:r>
          </w:p>
        </w:tc>
        <w:tc>
          <w:tcPr>
            <w:tcW w:w="1600" w:type="dxa"/>
            <w:noWrap/>
          </w:tcPr>
          <w:p w14:paraId="6DD2A5C6" w14:textId="77777777" w:rsidR="004A3F27" w:rsidRDefault="00FF26F3">
            <w:pPr>
              <w:pStyle w:val="noSpacing"/>
            </w:pPr>
            <w:hyperlink r:id="rId24" w:history="1">
              <w:r>
                <w:rPr>
                  <w:color w:val="71BD54"/>
                  <w:u w:val="single"/>
                </w:rPr>
                <w:t>G4: RACE</w:t>
              </w:r>
            </w:hyperlink>
            <w:r>
              <w:br/>
            </w:r>
            <w:r>
              <w:br/>
            </w:r>
            <w:r>
              <w:rPr>
                <w:sz w:val="16"/>
                <w:szCs w:val="16"/>
              </w:rPr>
              <w:t>Contact:</w:t>
            </w:r>
            <w:r>
              <w:br/>
            </w:r>
            <w:r>
              <w:rPr>
                <w:sz w:val="16"/>
                <w:szCs w:val="16"/>
              </w:rPr>
              <w:t>Martin Benedikt (Germany)</w:t>
            </w:r>
          </w:p>
        </w:tc>
        <w:tc>
          <w:tcPr>
            <w:tcW w:w="6800" w:type="dxa"/>
            <w:noWrap/>
          </w:tcPr>
          <w:p w14:paraId="452E91D1" w14:textId="77777777" w:rsidR="004A3F27" w:rsidRDefault="00FF26F3">
            <w:pPr>
              <w:pStyle w:val="noSpacing"/>
            </w:pPr>
            <w:r>
              <w:rPr>
                <w:sz w:val="18"/>
                <w:szCs w:val="18"/>
              </w:rPr>
              <w:t>European industry faces an accelerating wave of regulatory requirements. Manufacturers in automotive, medical devices, and industrial machinery must navigate a complex landscape of standards and regulations — including the AI Act, Machinery Regulation, Cyber Resilience Act, Safety and domain-specific norms — while maintaining competitiveness and innovation speed.Key challenges are:- Regulations are drafted as legal prose, making them difficult to operationalize in engineering workflows.- Compliance is often</w:t>
            </w:r>
            <w:r>
              <w:rPr>
                <w:sz w:val="18"/>
                <w:szCs w:val="18"/>
              </w:rPr>
              <w:t xml:space="preserve"> treated as a late-stage verification activity rather than a design principle, leading to costly rework.- Regulatory knowledge is fragmented across documents, domain experts, and tools — not systematically captured as reusable, machine-actionable knowledge.- Engineering tools (PLM systems, requirements tools like DOORS/Polarion, CI/CD pipelines, IDEs) lack integrated, context-sensitive compliance guidance.Curiosity: What if regulatory requirements were not documents to be checked against, but knowledge bric</w:t>
            </w:r>
            <w:r>
              <w:rPr>
                <w:sz w:val="18"/>
                <w:szCs w:val="18"/>
              </w:rPr>
              <w:t>ks embedded into the engineering toolchain from day one?</w:t>
            </w:r>
          </w:p>
        </w:tc>
        <w:tc>
          <w:tcPr>
            <w:tcW w:w="1600" w:type="dxa"/>
            <w:noWrap/>
          </w:tcPr>
          <w:p w14:paraId="269CE68E" w14:textId="77777777" w:rsidR="004A3F27" w:rsidRDefault="004A3F27">
            <w:pPr>
              <w:pStyle w:val="noSpacing"/>
            </w:pPr>
          </w:p>
        </w:tc>
      </w:tr>
      <w:tr w:rsidR="004A3F27" w14:paraId="294DE003" w14:textId="77777777">
        <w:trPr>
          <w:cantSplit/>
        </w:trPr>
        <w:tc>
          <w:tcPr>
            <w:tcW w:w="800" w:type="dxa"/>
            <w:noWrap/>
          </w:tcPr>
          <w:p w14:paraId="43DB8EA6" w14:textId="77777777" w:rsidR="004A3F27" w:rsidRDefault="00FF26F3">
            <w:pPr>
              <w:pStyle w:val="noSpacing"/>
            </w:pPr>
            <w:r>
              <w:lastRenderedPageBreak/>
              <w:t>15:46</w:t>
            </w:r>
          </w:p>
        </w:tc>
        <w:tc>
          <w:tcPr>
            <w:tcW w:w="1600" w:type="dxa"/>
            <w:noWrap/>
          </w:tcPr>
          <w:p w14:paraId="58FC3CD0" w14:textId="77777777" w:rsidR="004A3F27" w:rsidRDefault="00FF26F3">
            <w:pPr>
              <w:pStyle w:val="noSpacing"/>
            </w:pPr>
            <w:hyperlink r:id="rId25" w:history="1">
              <w:r>
                <w:rPr>
                  <w:color w:val="71BD54"/>
                  <w:u w:val="single"/>
                </w:rPr>
                <w:t>G5: HYPERFIELD</w:t>
              </w:r>
            </w:hyperlink>
            <w:r>
              <w:br/>
            </w:r>
            <w:r>
              <w:br/>
            </w:r>
            <w:r>
              <w:rPr>
                <w:sz w:val="16"/>
                <w:szCs w:val="16"/>
              </w:rPr>
              <w:t>Contact:</w:t>
            </w:r>
            <w:r>
              <w:br/>
            </w:r>
            <w:r>
              <w:rPr>
                <w:sz w:val="16"/>
                <w:szCs w:val="16"/>
              </w:rPr>
              <w:t>Ahmed Khebir (Canada)</w:t>
            </w:r>
          </w:p>
        </w:tc>
        <w:tc>
          <w:tcPr>
            <w:tcW w:w="6800" w:type="dxa"/>
            <w:noWrap/>
          </w:tcPr>
          <w:p w14:paraId="5FB5CE7A" w14:textId="77777777" w:rsidR="004A3F27" w:rsidRDefault="00FF26F3">
            <w:pPr>
              <w:pStyle w:val="noSpacing"/>
            </w:pPr>
            <w:r>
              <w:rPr>
                <w:sz w:val="18"/>
                <w:szCs w:val="18"/>
              </w:rPr>
              <w:t>Electromagnetic simulation breaks down at the scale industry now needs. A car at automotive radar frequencies spans over a thousand wavelengths; a street scene spans several thousand. Full-wave finite element methods are computationally unreachable at that scale, while asymptotic methods cannot resolve the geometry and materials that determine the answer. Engineers validate safety-critical radar, 6G and antenna systems against models they know to be incomplete.HYPERFIELD will develop a GPU-native simulation</w:t>
            </w:r>
            <w:r>
              <w:rPr>
                <w:sz w:val="18"/>
                <w:szCs w:val="18"/>
              </w:rPr>
              <w:t xml:space="preserve"> platform coupling full-wave finite elements with high-frequency asymptotic methods, accelerated by AI surrogate models, making platform- and scene-scale electromagnetic problems tractable on both multi-GPU workstations and elastic cloud deployment. Target applications include virtual validation of automotive radar and ADAS, 6G systems and reconfigurable intelligent surfaces, antenna integration and EMC on large platforms.The project is led by EMWorks, a commercial developer of electromagnetic simulation so</w:t>
            </w:r>
            <w:r>
              <w:rPr>
                <w:sz w:val="18"/>
                <w:szCs w:val="18"/>
              </w:rPr>
              <w:t>ftware, contributing production FEM solver technology, CAD integration and validated industrial benchmarks as the starting baseline — proven numerics rather than research prototypes, with every AI component validated against a high-fidelity reference.</w:t>
            </w:r>
          </w:p>
        </w:tc>
        <w:tc>
          <w:tcPr>
            <w:tcW w:w="1600" w:type="dxa"/>
            <w:noWrap/>
          </w:tcPr>
          <w:p w14:paraId="5CBF1322" w14:textId="77777777" w:rsidR="004A3F27" w:rsidRDefault="004A3F27">
            <w:pPr>
              <w:pStyle w:val="noSpacing"/>
            </w:pPr>
          </w:p>
        </w:tc>
      </w:tr>
      <w:tr w:rsidR="004A3F27" w14:paraId="1298ABCD" w14:textId="77777777">
        <w:trPr>
          <w:cantSplit/>
        </w:trPr>
        <w:tc>
          <w:tcPr>
            <w:tcW w:w="800" w:type="dxa"/>
            <w:noWrap/>
          </w:tcPr>
          <w:p w14:paraId="2B9792B5" w14:textId="77777777" w:rsidR="004A3F27" w:rsidRDefault="00FF26F3">
            <w:pPr>
              <w:pStyle w:val="noSpacing"/>
            </w:pPr>
            <w:r>
              <w:t>15:50</w:t>
            </w:r>
          </w:p>
        </w:tc>
        <w:tc>
          <w:tcPr>
            <w:tcW w:w="1600" w:type="dxa"/>
            <w:noWrap/>
          </w:tcPr>
          <w:p w14:paraId="70E3E565" w14:textId="77777777" w:rsidR="004A3F27" w:rsidRDefault="00FF26F3">
            <w:pPr>
              <w:pStyle w:val="noSpacing"/>
            </w:pPr>
            <w:hyperlink r:id="rId26" w:history="1">
              <w:r>
                <w:rPr>
                  <w:color w:val="71BD54"/>
                  <w:u w:val="single"/>
                </w:rPr>
                <w:t>G6: COF</w:t>
              </w:r>
            </w:hyperlink>
            <w:r>
              <w:br/>
            </w:r>
            <w:r>
              <w:br/>
            </w:r>
            <w:r>
              <w:rPr>
                <w:sz w:val="16"/>
                <w:szCs w:val="16"/>
              </w:rPr>
              <w:t>Contact:</w:t>
            </w:r>
            <w:r>
              <w:br/>
            </w:r>
            <w:r>
              <w:rPr>
                <w:sz w:val="16"/>
                <w:szCs w:val="16"/>
              </w:rPr>
              <w:t>Mudassar Iqbal (United States of America)</w:t>
            </w:r>
          </w:p>
        </w:tc>
        <w:tc>
          <w:tcPr>
            <w:tcW w:w="6800" w:type="dxa"/>
            <w:noWrap/>
          </w:tcPr>
          <w:p w14:paraId="71E44402" w14:textId="77777777" w:rsidR="004A3F27" w:rsidRDefault="00FF26F3">
            <w:pPr>
              <w:pStyle w:val="noSpacing"/>
            </w:pPr>
            <w:r>
              <w:rPr>
                <w:sz w:val="18"/>
                <w:szCs w:val="18"/>
              </w:rPr>
              <w:t>The **Cognitive Oversight Framework (COF)** introduces a new architectural approach for continuous oversight and foresight of complex digital infrastructure. Current monitoring, observability and AIOps remain largely reactive and fragmented across applications, infrastructure, networks, security and AI workloads, requiring operators to reconstruct system-wide meaning from disconnected telemetry.COF moves beyond this model by interpreting runtime behaviour against operational intent, transforming signals int</w:t>
            </w:r>
            <w:r>
              <w:rPr>
                <w:sz w:val="18"/>
                <w:szCs w:val="18"/>
              </w:rPr>
              <w:t xml:space="preserve">o meaningful semantic posture, preserving operational memory, and reasoning across technology and domain boundaries. The objective is to establish continuous understanding of what is happening across digital infrastructure, why it is happening, whether behaviour remains aligned with intent, and whether emerging conditions indicate future failure or risk.The project will research and validate the core mechanisms required to demonstrate this new paradigm across realistic, heterogeneous digital infrastructure </w:t>
            </w:r>
            <w:r>
              <w:rPr>
                <w:sz w:val="18"/>
                <w:szCs w:val="18"/>
              </w:rPr>
              <w:t>environments.Reference :[1] COF Industry Adoption https://github.com/quantirax-lab/quantirax-whitepapers/blob/main/whitepapers/2025-industry/cof-vision-and-scope/cof-industry-adoption.md[2] COF Runtime Synthesishttps://github.com/quantirax-lab/quantirax-whitepapers/blob/main/whitepapers/2025-industry/runtime-synthesis/runtime-synthesis.md[3] Cognitive Oversight Frameworkhttps://github.com/quantirax-lab/books/blob/main/cognitive-oversight-framework.pdf</w:t>
            </w:r>
          </w:p>
        </w:tc>
        <w:tc>
          <w:tcPr>
            <w:tcW w:w="1600" w:type="dxa"/>
            <w:noWrap/>
          </w:tcPr>
          <w:p w14:paraId="5D11E55B" w14:textId="77777777" w:rsidR="004A3F27" w:rsidRDefault="004A3F27">
            <w:pPr>
              <w:pStyle w:val="noSpacing"/>
            </w:pPr>
          </w:p>
        </w:tc>
      </w:tr>
      <w:tr w:rsidR="004A3F27" w14:paraId="618E898D" w14:textId="77777777">
        <w:trPr>
          <w:cantSplit/>
        </w:trPr>
        <w:tc>
          <w:tcPr>
            <w:tcW w:w="800" w:type="dxa"/>
            <w:noWrap/>
          </w:tcPr>
          <w:p w14:paraId="0603A5DA" w14:textId="77777777" w:rsidR="004A3F27" w:rsidRDefault="00FF26F3">
            <w:pPr>
              <w:pStyle w:val="noSpacing"/>
            </w:pPr>
            <w:r>
              <w:t>15:54</w:t>
            </w:r>
          </w:p>
        </w:tc>
        <w:tc>
          <w:tcPr>
            <w:tcW w:w="1600" w:type="dxa"/>
            <w:noWrap/>
          </w:tcPr>
          <w:p w14:paraId="54FE4F85" w14:textId="77777777" w:rsidR="004A3F27" w:rsidRDefault="00FF26F3">
            <w:pPr>
              <w:pStyle w:val="noSpacing"/>
            </w:pPr>
            <w:hyperlink r:id="rId27" w:history="1">
              <w:r>
                <w:rPr>
                  <w:color w:val="71BD54"/>
                  <w:u w:val="single"/>
                </w:rPr>
                <w:t>G9: MARIO</w:t>
              </w:r>
            </w:hyperlink>
            <w:r>
              <w:br/>
            </w:r>
            <w:r>
              <w:br/>
            </w:r>
            <w:r>
              <w:rPr>
                <w:sz w:val="16"/>
                <w:szCs w:val="16"/>
              </w:rPr>
              <w:t>Contact:</w:t>
            </w:r>
            <w:r>
              <w:br/>
            </w:r>
            <w:r>
              <w:rPr>
                <w:sz w:val="16"/>
                <w:szCs w:val="16"/>
              </w:rPr>
              <w:t>Özer Aydemir (Germany)</w:t>
            </w:r>
          </w:p>
        </w:tc>
        <w:tc>
          <w:tcPr>
            <w:tcW w:w="6800" w:type="dxa"/>
            <w:noWrap/>
          </w:tcPr>
          <w:p w14:paraId="3B3D8B6A" w14:textId="77777777" w:rsidR="004A3F27" w:rsidRDefault="00FF26F3">
            <w:pPr>
              <w:pStyle w:val="noSpacing"/>
            </w:pPr>
            <w:r>
              <w:rPr>
                <w:sz w:val="18"/>
                <w:szCs w:val="18"/>
              </w:rPr>
              <w:t>A Software Engineering-First Paradigm for Quantum &amp; Hybrid SystemsWhile quantum computing offers unprecedented computational power, it remains heavily hardware-centric. MARIO shifts this paradigm by placing Software Engineering at the core of quantum development. The project aims to establish a comprehensive, structured software engineering framework equipped with next-generation abstraction layers, quantum-adapted lifecycle models, and specialized verification tools. Our ultimate goal is to make quantum an</w:t>
            </w:r>
            <w:r>
              <w:rPr>
                <w:sz w:val="18"/>
                <w:szCs w:val="18"/>
              </w:rPr>
              <w:t xml:space="preserve">d hybrid application development as reliable, scalable, and maintainable as classical software, democratizing access for domain experts.Current classical software paradigms, such as object-oriented programming (OOP) and aspect-oriented software development (AOSD), are fundamentally inadequate for quantum architectures. The industry faces critical bottlenecks:The Software Engineering Gap: A complete absence of standardized software engineering methodologies, lifecycle models, and quality assurance protocols </w:t>
            </w:r>
            <w:r>
              <w:rPr>
                <w:sz w:val="18"/>
                <w:szCs w:val="18"/>
              </w:rPr>
              <w:t>tailored for quantum mechanics.</w:t>
            </w:r>
          </w:p>
        </w:tc>
        <w:tc>
          <w:tcPr>
            <w:tcW w:w="1600" w:type="dxa"/>
            <w:noWrap/>
          </w:tcPr>
          <w:p w14:paraId="431A4324" w14:textId="77777777" w:rsidR="004A3F27" w:rsidRDefault="004A3F27">
            <w:pPr>
              <w:pStyle w:val="noSpacing"/>
            </w:pPr>
          </w:p>
        </w:tc>
      </w:tr>
      <w:tr w:rsidR="004A3F27" w14:paraId="4B463400" w14:textId="77777777">
        <w:trPr>
          <w:cantSplit/>
        </w:trPr>
        <w:tc>
          <w:tcPr>
            <w:tcW w:w="800" w:type="dxa"/>
            <w:noWrap/>
          </w:tcPr>
          <w:p w14:paraId="343FDF62" w14:textId="77777777" w:rsidR="004A3F27" w:rsidRDefault="00FF26F3">
            <w:pPr>
              <w:pStyle w:val="noSpacing"/>
            </w:pPr>
            <w:r>
              <w:lastRenderedPageBreak/>
              <w:t>15:58</w:t>
            </w:r>
          </w:p>
        </w:tc>
        <w:tc>
          <w:tcPr>
            <w:tcW w:w="1600" w:type="dxa"/>
            <w:noWrap/>
          </w:tcPr>
          <w:p w14:paraId="1169816E" w14:textId="77777777" w:rsidR="004A3F27" w:rsidRDefault="00FF26F3">
            <w:pPr>
              <w:pStyle w:val="noSpacing"/>
            </w:pPr>
            <w:hyperlink r:id="rId28" w:history="1">
              <w:r>
                <w:rPr>
                  <w:color w:val="71BD54"/>
                  <w:u w:val="single"/>
                </w:rPr>
                <w:t>G10: PACT</w:t>
              </w:r>
            </w:hyperlink>
            <w:r>
              <w:br/>
            </w:r>
            <w:r>
              <w:br/>
            </w:r>
            <w:r>
              <w:rPr>
                <w:sz w:val="16"/>
                <w:szCs w:val="16"/>
              </w:rPr>
              <w:t>Contact:</w:t>
            </w:r>
            <w:r>
              <w:br/>
            </w:r>
            <w:r>
              <w:rPr>
                <w:sz w:val="16"/>
                <w:szCs w:val="16"/>
              </w:rPr>
              <w:t>Aydin Can Polatkan (Türkiye)</w:t>
            </w:r>
          </w:p>
        </w:tc>
        <w:tc>
          <w:tcPr>
            <w:tcW w:w="6800" w:type="dxa"/>
            <w:noWrap/>
          </w:tcPr>
          <w:p w14:paraId="17970FBC" w14:textId="77777777" w:rsidR="004A3F27" w:rsidRDefault="00FF26F3">
            <w:pPr>
              <w:pStyle w:val="noSpacing"/>
            </w:pPr>
            <w:r>
              <w:rPr>
                <w:sz w:val="18"/>
                <w:szCs w:val="18"/>
              </w:rPr>
              <w:t>AI agents will increasingly control robots, AGVs and industrial processes. Today, the AI agent that plans an action, the safety system that limits machine motion, and the evidence used for conformity assessment are usually separate. PACT connects them addressing a practical gap in the deployment of AI agents on physical machinery. It checks each proposed physical action against defined safety constraints, machine state and authorised scope before execution, then records the decision and its supporting evide</w:t>
            </w:r>
            <w:r>
              <w:rPr>
                <w:sz w:val="18"/>
                <w:szCs w:val="18"/>
              </w:rPr>
              <w:t>nce. PACT also assesses whether model and software changes affect the existing safety evidence. It's the clearance boundary between an AI decision and a physical machine action, providing the evidence and change-impact analysis needed to maintain that boundary throughout the machine lifecycle. Join PACT!</w:t>
            </w:r>
          </w:p>
        </w:tc>
        <w:tc>
          <w:tcPr>
            <w:tcW w:w="1600" w:type="dxa"/>
            <w:noWrap/>
          </w:tcPr>
          <w:p w14:paraId="194370AC" w14:textId="77777777" w:rsidR="004A3F27" w:rsidRDefault="004A3F27">
            <w:pPr>
              <w:pStyle w:val="noSpacing"/>
            </w:pPr>
          </w:p>
        </w:tc>
      </w:tr>
      <w:tr w:rsidR="004A3F27" w14:paraId="74DC7B48" w14:textId="77777777">
        <w:trPr>
          <w:cantSplit/>
        </w:trPr>
        <w:tc>
          <w:tcPr>
            <w:tcW w:w="800" w:type="dxa"/>
            <w:noWrap/>
          </w:tcPr>
          <w:p w14:paraId="5F45C2B5" w14:textId="77777777" w:rsidR="004A3F27" w:rsidRDefault="00FF26F3">
            <w:pPr>
              <w:pStyle w:val="noSpacing"/>
            </w:pPr>
            <w:r>
              <w:t>16:02</w:t>
            </w:r>
          </w:p>
        </w:tc>
        <w:tc>
          <w:tcPr>
            <w:tcW w:w="1600" w:type="dxa"/>
            <w:noWrap/>
          </w:tcPr>
          <w:p w14:paraId="124B8A60" w14:textId="77777777" w:rsidR="004A3F27" w:rsidRDefault="00FF26F3">
            <w:pPr>
              <w:pStyle w:val="noSpacing"/>
            </w:pPr>
            <w:hyperlink r:id="rId29" w:history="1">
              <w:r>
                <w:rPr>
                  <w:color w:val="71BD54"/>
                  <w:u w:val="single"/>
                </w:rPr>
                <w:t>G11: RAISE</w:t>
              </w:r>
            </w:hyperlink>
            <w:r>
              <w:br/>
            </w:r>
            <w:r>
              <w:br/>
            </w:r>
            <w:r>
              <w:rPr>
                <w:sz w:val="16"/>
                <w:szCs w:val="16"/>
              </w:rPr>
              <w:t>Contact:</w:t>
            </w:r>
            <w:r>
              <w:br/>
            </w:r>
            <w:r>
              <w:rPr>
                <w:sz w:val="16"/>
                <w:szCs w:val="16"/>
              </w:rPr>
              <w:t>Bohdan Vykhtar (Germany)</w:t>
            </w:r>
          </w:p>
        </w:tc>
        <w:tc>
          <w:tcPr>
            <w:tcW w:w="6800" w:type="dxa"/>
            <w:noWrap/>
          </w:tcPr>
          <w:p w14:paraId="77083893" w14:textId="77777777" w:rsidR="004A3F27" w:rsidRDefault="00FF26F3">
            <w:pPr>
              <w:pStyle w:val="noSpacing"/>
            </w:pPr>
            <w:r>
              <w:rPr>
                <w:sz w:val="18"/>
                <w:szCs w:val="18"/>
              </w:rPr>
              <w:t>Manufacturing companies face high innovation costs, long development cycles and limited access to specialized engineering expertise. The aim of RAISE is to develop an AI based orchestration system that dynamically selects and coordinates AI agents, process simulation tools, physics-based models, and real-time data to solve engineering tasks efficiently and reliably. By using tailored agents, an AI orchestration level reduces computational effort, energy consumption and AI costs while improving trustworthine</w:t>
            </w:r>
            <w:r>
              <w:rPr>
                <w:sz w:val="18"/>
                <w:szCs w:val="18"/>
              </w:rPr>
              <w:t>ss. The solution empowers the industry, and especially SMES, to innovate faster by accessing engineering expertise through tailored AI, rather than just purchasing software. As a first use case, AI-powered material and process development for challenging environments, will demonstrate how RAISE can enable faster research and digital engineering on demand.</w:t>
            </w:r>
          </w:p>
        </w:tc>
        <w:tc>
          <w:tcPr>
            <w:tcW w:w="1600" w:type="dxa"/>
            <w:noWrap/>
          </w:tcPr>
          <w:p w14:paraId="116F45FB" w14:textId="77777777" w:rsidR="004A3F27" w:rsidRDefault="004A3F27">
            <w:pPr>
              <w:pStyle w:val="noSpacing"/>
            </w:pPr>
          </w:p>
        </w:tc>
      </w:tr>
      <w:tr w:rsidR="004A3F27" w14:paraId="6795DC76" w14:textId="77777777">
        <w:trPr>
          <w:cantSplit/>
        </w:trPr>
        <w:tc>
          <w:tcPr>
            <w:tcW w:w="800" w:type="dxa"/>
            <w:noWrap/>
          </w:tcPr>
          <w:p w14:paraId="497275D6" w14:textId="77777777" w:rsidR="004A3F27" w:rsidRDefault="00FF26F3">
            <w:pPr>
              <w:pStyle w:val="noSpacing"/>
            </w:pPr>
            <w:r>
              <w:t>16:06</w:t>
            </w:r>
          </w:p>
        </w:tc>
        <w:tc>
          <w:tcPr>
            <w:tcW w:w="1600" w:type="dxa"/>
            <w:noWrap/>
          </w:tcPr>
          <w:p w14:paraId="471F762C" w14:textId="77777777" w:rsidR="004A3F27" w:rsidRDefault="00FF26F3">
            <w:pPr>
              <w:pStyle w:val="noSpacing"/>
            </w:pPr>
            <w:hyperlink r:id="rId30" w:history="1">
              <w:r>
                <w:rPr>
                  <w:color w:val="71BD54"/>
                  <w:u w:val="single"/>
                </w:rPr>
                <w:t>G14: KINEVAC</w:t>
              </w:r>
            </w:hyperlink>
            <w:r>
              <w:br/>
            </w:r>
            <w:r>
              <w:br/>
            </w:r>
            <w:r>
              <w:rPr>
                <w:sz w:val="16"/>
                <w:szCs w:val="16"/>
              </w:rPr>
              <w:t>Contact:</w:t>
            </w:r>
            <w:r>
              <w:br/>
            </w:r>
            <w:r>
              <w:rPr>
                <w:sz w:val="16"/>
                <w:szCs w:val="16"/>
              </w:rPr>
              <w:t>Torsten Keßler (The Netherlands)</w:t>
            </w:r>
          </w:p>
        </w:tc>
        <w:tc>
          <w:tcPr>
            <w:tcW w:w="6800" w:type="dxa"/>
            <w:noWrap/>
          </w:tcPr>
          <w:p w14:paraId="1D055140" w14:textId="77777777" w:rsidR="004A3F27" w:rsidRDefault="00FF26F3">
            <w:pPr>
              <w:pStyle w:val="noSpacing"/>
            </w:pPr>
            <w:r>
              <w:rPr>
                <w:sz w:val="18"/>
                <w:szCs w:val="18"/>
              </w:rPr>
              <w:t>Vacuum subsystems in semiconductor equipment, thin-film coating tools, vacuumpumps and space hardware are still qualified on expensive test rigs, because nosimulation of the transitional regime is both fast and trustworthy. Keychallenges are:- Particle methods are physically valid but statistically noisy on exactly the  quantities that decide the design — trace contaminant species, low-signal heat  and momentum fluxes, and the flux and energy arriving on a wall.- Noise at the interface breaks tightly couple</w:t>
            </w:r>
            <w:r>
              <w:rPr>
                <w:sz w:val="18"/>
                <w:szCs w:val="18"/>
              </w:rPr>
              <w:t>d thermal and surface models, and  blocks gradient-based design optimisation entirely.- Continuum CFD is fast and simply wrong below a few millibar.- The result: contamination, pressure staging and wall lifetime are settled by  building the chamber, not by simulating it.KINEVAC builds a deterministic kinetic solver for that regime, couples it to thepartner's thermal model, and derives machine-learning reduced-order models fromit for rapid design and digital twins.Open question: what if the kinetic simulatio</w:t>
            </w:r>
            <w:r>
              <w:rPr>
                <w:sz w:val="18"/>
                <w:szCs w:val="18"/>
              </w:rPr>
              <w:t>n ran overnight, coupled cleanly toyour thermal model, and handed back a reduced-order model your engineers couldquery in milliseconds?</w:t>
            </w:r>
          </w:p>
        </w:tc>
        <w:tc>
          <w:tcPr>
            <w:tcW w:w="1600" w:type="dxa"/>
            <w:noWrap/>
          </w:tcPr>
          <w:p w14:paraId="700AC0DD" w14:textId="77777777" w:rsidR="004A3F27" w:rsidRDefault="004A3F27">
            <w:pPr>
              <w:pStyle w:val="noSpacing"/>
            </w:pPr>
          </w:p>
        </w:tc>
      </w:tr>
      <w:tr w:rsidR="004A3F27" w14:paraId="25ABAC41" w14:textId="77777777">
        <w:trPr>
          <w:cantSplit/>
        </w:trPr>
        <w:tc>
          <w:tcPr>
            <w:tcW w:w="800" w:type="dxa"/>
            <w:noWrap/>
          </w:tcPr>
          <w:p w14:paraId="7B379692" w14:textId="77777777" w:rsidR="004A3F27" w:rsidRDefault="00FF26F3">
            <w:pPr>
              <w:pStyle w:val="noSpacing"/>
            </w:pPr>
            <w:r>
              <w:t>16:10</w:t>
            </w:r>
          </w:p>
        </w:tc>
        <w:tc>
          <w:tcPr>
            <w:tcW w:w="1600" w:type="dxa"/>
            <w:noWrap/>
          </w:tcPr>
          <w:p w14:paraId="1E985AF9" w14:textId="77777777" w:rsidR="004A3F27" w:rsidRDefault="00FF26F3">
            <w:pPr>
              <w:pStyle w:val="noSpacing"/>
            </w:pPr>
            <w:hyperlink r:id="rId31" w:history="1">
              <w:r>
                <w:rPr>
                  <w:color w:val="71BD54"/>
                  <w:u w:val="single"/>
                </w:rPr>
                <w:t>H2: SHIELD</w:t>
              </w:r>
            </w:hyperlink>
            <w:r>
              <w:br/>
            </w:r>
            <w:r>
              <w:br/>
            </w:r>
            <w:r>
              <w:rPr>
                <w:sz w:val="16"/>
                <w:szCs w:val="16"/>
              </w:rPr>
              <w:t>Contact:</w:t>
            </w:r>
            <w:r>
              <w:br/>
            </w:r>
            <w:r>
              <w:rPr>
                <w:sz w:val="16"/>
                <w:szCs w:val="16"/>
              </w:rPr>
              <w:t>Ulviye Savaş (Türkiye)</w:t>
            </w:r>
          </w:p>
        </w:tc>
        <w:tc>
          <w:tcPr>
            <w:tcW w:w="6800" w:type="dxa"/>
            <w:noWrap/>
          </w:tcPr>
          <w:p w14:paraId="55E6C691" w14:textId="77777777" w:rsidR="004A3F27" w:rsidRDefault="00FF26F3">
            <w:pPr>
              <w:pStyle w:val="noSpacing"/>
            </w:pPr>
            <w:r>
              <w:rPr>
                <w:sz w:val="18"/>
                <w:szCs w:val="18"/>
              </w:rPr>
              <w:t>SHIELD will develop privacy-preserving federated AI agents for cross-sector fraud and anomaly prevention in regulated digital ecosystems. The agents will support activities such as distributed fraud detection, anomaly analysis, risk scoring, identity re-verification, alert escalation, transaction blocking, policy adaptation, evidence management, and explainable decision support.The project will investigate how Action-SLMs and agentic orchestration can be integrated into fintech, telecom, public service, ide</w:t>
            </w:r>
            <w:r>
              <w:rPr>
                <w:sz w:val="18"/>
                <w:szCs w:val="18"/>
              </w:rPr>
              <w:t>ntity, and critical infrastructure environments while preserving data privacy, human control, auditability, traceability, and regulatory compliance. SHIELD will combine information from transactions, user behaviour, device signals, network events, identity verification flows, operational logs, risk models, organizational policies, compliance rules, and human feedback to support continuous fraud and anomaly prevention.The project targets cross-sector digital systems in domains such as fintech, telecommunicat</w:t>
            </w:r>
            <w:r>
              <w:rPr>
                <w:sz w:val="18"/>
                <w:szCs w:val="18"/>
              </w:rPr>
              <w:t>ions, digital identity, public-sector services, critical information infrastructures, payment systems, e-government services, and regulated data-driven platforms.</w:t>
            </w:r>
          </w:p>
        </w:tc>
        <w:tc>
          <w:tcPr>
            <w:tcW w:w="1600" w:type="dxa"/>
            <w:noWrap/>
          </w:tcPr>
          <w:p w14:paraId="115C86CA" w14:textId="77777777" w:rsidR="004A3F27" w:rsidRDefault="004A3F27">
            <w:pPr>
              <w:pStyle w:val="noSpacing"/>
            </w:pPr>
          </w:p>
        </w:tc>
      </w:tr>
      <w:tr w:rsidR="004A3F27" w14:paraId="6E19D003" w14:textId="77777777">
        <w:trPr>
          <w:cantSplit/>
        </w:trPr>
        <w:tc>
          <w:tcPr>
            <w:tcW w:w="800" w:type="dxa"/>
            <w:noWrap/>
          </w:tcPr>
          <w:p w14:paraId="45FC0E48" w14:textId="77777777" w:rsidR="004A3F27" w:rsidRDefault="00FF26F3">
            <w:pPr>
              <w:pStyle w:val="noSpacing"/>
            </w:pPr>
            <w:r>
              <w:lastRenderedPageBreak/>
              <w:t>16:14</w:t>
            </w:r>
          </w:p>
        </w:tc>
        <w:tc>
          <w:tcPr>
            <w:tcW w:w="1600" w:type="dxa"/>
            <w:noWrap/>
          </w:tcPr>
          <w:p w14:paraId="71BCC3BC" w14:textId="77777777" w:rsidR="004A3F27" w:rsidRDefault="00FF26F3">
            <w:pPr>
              <w:pStyle w:val="noSpacing"/>
            </w:pPr>
            <w:hyperlink r:id="rId32" w:history="1">
              <w:r>
                <w:rPr>
                  <w:color w:val="71BD54"/>
                  <w:u w:val="single"/>
                </w:rPr>
                <w:t>H3: CONTEXT</w:t>
              </w:r>
            </w:hyperlink>
            <w:r>
              <w:br/>
            </w:r>
            <w:r>
              <w:br/>
            </w:r>
            <w:r>
              <w:rPr>
                <w:sz w:val="16"/>
                <w:szCs w:val="16"/>
              </w:rPr>
              <w:t>Contact:</w:t>
            </w:r>
            <w:r>
              <w:br/>
            </w:r>
            <w:r>
              <w:rPr>
                <w:sz w:val="16"/>
                <w:szCs w:val="16"/>
              </w:rPr>
              <w:t>Ronny Marcel Timmermans (Belgium)</w:t>
            </w:r>
          </w:p>
        </w:tc>
        <w:tc>
          <w:tcPr>
            <w:tcW w:w="6800" w:type="dxa"/>
            <w:noWrap/>
          </w:tcPr>
          <w:p w14:paraId="71ADEC7E" w14:textId="77777777" w:rsidR="004A3F27" w:rsidRDefault="00FF26F3">
            <w:pPr>
              <w:pStyle w:val="noSpacing"/>
            </w:pPr>
            <w:r>
              <w:rPr>
                <w:sz w:val="18"/>
                <w:szCs w:val="18"/>
              </w:rPr>
              <w:t>The project envisages to become a platform for unstructured and structured information to automate compliance, detect anomaly and combat fraude. Leveraging structured and unstructured (content, document) information, we apply policy based access control  and model driven information management to enable AI agents to extract useful information and pick up early signals in case of anomalies. We intend to build upon the **open source** [contentgrid platform](https://www.contentgrid.com), that is a basis for co</w:t>
            </w:r>
            <w:r>
              <w:rPr>
                <w:sz w:val="18"/>
                <w:szCs w:val="18"/>
              </w:rPr>
              <w:t>re content operations.The system will scale into billions of information objects, but at the same time allow in depth and real time analytics to become a business relevant information store. We particularly target regulated industries like insurance, banking and payroll services, where financial and personal data co-exist and privacy is non-negotiable. The business model will in particular support and favor SME's to start leveraging AI on their content and AI, while at the same time deploying on a EU sovere</w:t>
            </w:r>
            <w:r>
              <w:rPr>
                <w:sz w:val="18"/>
                <w:szCs w:val="18"/>
              </w:rPr>
              <w:t>ign platform.Whatever innovative features we add, the system will not impact EU Business unless it establishes **trust**. Since december 2025, we have a EU definition of trust for archives, the "qualified digital archive", building upon eIDAS 2 regulation, as defined in the Commission Implementing Regulation (EU) 2025/2532. By applying stringent trust criteria on content &amp; information, small and large organisation will be less reluctant to exploit the analytical and synthetic capabilities of AI. We will app</w:t>
            </w:r>
            <w:r>
              <w:rPr>
                <w:sz w:val="18"/>
                <w:szCs w:val="18"/>
              </w:rPr>
              <w:t>ly local models, with a preference for EU models, but only after benchmarking them against non-EU models.</w:t>
            </w:r>
          </w:p>
        </w:tc>
        <w:tc>
          <w:tcPr>
            <w:tcW w:w="1600" w:type="dxa"/>
            <w:noWrap/>
          </w:tcPr>
          <w:p w14:paraId="38569EE0" w14:textId="77777777" w:rsidR="004A3F27" w:rsidRDefault="004A3F27">
            <w:pPr>
              <w:pStyle w:val="noSpacing"/>
            </w:pPr>
          </w:p>
        </w:tc>
      </w:tr>
      <w:tr w:rsidR="004A3F27" w14:paraId="532B444F" w14:textId="77777777">
        <w:trPr>
          <w:cantSplit/>
        </w:trPr>
        <w:tc>
          <w:tcPr>
            <w:tcW w:w="800" w:type="dxa"/>
            <w:noWrap/>
          </w:tcPr>
          <w:p w14:paraId="6F4DFEB8" w14:textId="77777777" w:rsidR="004A3F27" w:rsidRDefault="00FF26F3">
            <w:pPr>
              <w:pStyle w:val="noSpacing"/>
            </w:pPr>
            <w:r>
              <w:t>16:18</w:t>
            </w:r>
          </w:p>
        </w:tc>
        <w:tc>
          <w:tcPr>
            <w:tcW w:w="1600" w:type="dxa"/>
            <w:noWrap/>
          </w:tcPr>
          <w:p w14:paraId="1E31CDCF" w14:textId="77777777" w:rsidR="004A3F27" w:rsidRDefault="00FF26F3">
            <w:pPr>
              <w:pStyle w:val="noSpacing"/>
            </w:pPr>
            <w:hyperlink r:id="rId33" w:history="1">
              <w:r>
                <w:rPr>
                  <w:color w:val="71BD54"/>
                  <w:u w:val="single"/>
                </w:rPr>
                <w:t>H4: TRUSTED-EDGE</w:t>
              </w:r>
            </w:hyperlink>
            <w:r>
              <w:br/>
            </w:r>
            <w:r>
              <w:br/>
            </w:r>
            <w:r>
              <w:rPr>
                <w:sz w:val="16"/>
                <w:szCs w:val="16"/>
              </w:rPr>
              <w:t>Contact:</w:t>
            </w:r>
            <w:r>
              <w:br/>
            </w:r>
            <w:r>
              <w:rPr>
                <w:sz w:val="16"/>
                <w:szCs w:val="16"/>
              </w:rPr>
              <w:t>Ulviye Savaş (Türkiye)</w:t>
            </w:r>
          </w:p>
        </w:tc>
        <w:tc>
          <w:tcPr>
            <w:tcW w:w="6800" w:type="dxa"/>
            <w:noWrap/>
          </w:tcPr>
          <w:p w14:paraId="77B14680" w14:textId="77777777" w:rsidR="004A3F27" w:rsidRDefault="00FF26F3">
            <w:pPr>
              <w:pStyle w:val="noSpacing"/>
            </w:pPr>
            <w:r>
              <w:rPr>
                <w:sz w:val="18"/>
                <w:szCs w:val="18"/>
              </w:rPr>
              <w:t>TRUST-EDGE will develop a privacy-preserving federated edge intelligence platform for trusted digital services, enabling organisations to collaboratively learn from distributed behavioural, transaction and device-risk data without sharing sensitive raw data. The project will integrate federated learning, secure aggregation, privacy controls, explainable AI and adversarial robustness into a reusable, production-oriented software platform. TRUST-EDGE will be validated through real-world pilots in fintech/paym</w:t>
            </w:r>
            <w:r>
              <w:rPr>
                <w:sz w:val="18"/>
                <w:szCs w:val="18"/>
              </w:rPr>
              <w:t>ent security, telecom and digital identity, and e-commerce, addressing fraud, account takeover, behavioural anomalies and other digital risks. The project aims to deliver deployable edge/mobile AI components, risk intelligence APIs and model governance capabilities for secure and trustworthy digital services.</w:t>
            </w:r>
          </w:p>
        </w:tc>
        <w:tc>
          <w:tcPr>
            <w:tcW w:w="1600" w:type="dxa"/>
            <w:noWrap/>
          </w:tcPr>
          <w:p w14:paraId="66EAA791" w14:textId="77777777" w:rsidR="004A3F27" w:rsidRDefault="004A3F27">
            <w:pPr>
              <w:pStyle w:val="noSpacing"/>
            </w:pPr>
          </w:p>
        </w:tc>
      </w:tr>
      <w:tr w:rsidR="004A3F27" w14:paraId="68536C38" w14:textId="77777777">
        <w:trPr>
          <w:cantSplit/>
        </w:trPr>
        <w:tc>
          <w:tcPr>
            <w:tcW w:w="800" w:type="dxa"/>
            <w:noWrap/>
          </w:tcPr>
          <w:p w14:paraId="3DE87459" w14:textId="77777777" w:rsidR="004A3F27" w:rsidRDefault="00FF26F3">
            <w:pPr>
              <w:pStyle w:val="noSpacing"/>
            </w:pPr>
            <w:r>
              <w:t>16:22</w:t>
            </w:r>
          </w:p>
        </w:tc>
        <w:tc>
          <w:tcPr>
            <w:tcW w:w="1600" w:type="dxa"/>
            <w:noWrap/>
          </w:tcPr>
          <w:p w14:paraId="19C45885" w14:textId="77777777" w:rsidR="004A3F27" w:rsidRDefault="00FF26F3">
            <w:pPr>
              <w:pStyle w:val="noSpacing"/>
            </w:pPr>
            <w:hyperlink r:id="rId34" w:history="1">
              <w:r>
                <w:rPr>
                  <w:color w:val="71BD54"/>
                  <w:u w:val="single"/>
                </w:rPr>
                <w:t>H5: LOG-IMMUNE</w:t>
              </w:r>
            </w:hyperlink>
            <w:r>
              <w:br/>
            </w:r>
            <w:r>
              <w:br/>
            </w:r>
            <w:r>
              <w:rPr>
                <w:sz w:val="16"/>
                <w:szCs w:val="16"/>
              </w:rPr>
              <w:t>Contact:</w:t>
            </w:r>
            <w:r>
              <w:br/>
            </w:r>
            <w:r>
              <w:rPr>
                <w:sz w:val="16"/>
                <w:szCs w:val="16"/>
              </w:rPr>
              <w:t>Markus Sihvonen (Finland)</w:t>
            </w:r>
          </w:p>
        </w:tc>
        <w:tc>
          <w:tcPr>
            <w:tcW w:w="6800" w:type="dxa"/>
            <w:noWrap/>
          </w:tcPr>
          <w:p w14:paraId="1C84A628" w14:textId="77777777" w:rsidR="004A3F27" w:rsidRDefault="00FF26F3">
            <w:pPr>
              <w:pStyle w:val="noSpacing"/>
            </w:pPr>
            <w:r>
              <w:rPr>
                <w:sz w:val="18"/>
                <w:szCs w:val="18"/>
              </w:rPr>
              <w:t>Smart logistic hubs - seaports, airports and drone/UAS-based logistics, railways, energy systems and other terminals - are systemic attack surfaces Interdependent systems for: cargo, vessels, terminal operations, rail mgt, road and energy systemsFragmented cyber, OT, physical and supply-chain securityDisruption in one logistic hub can cascade across all types of Smart logistic hubs all over EuropeA threat detected in one logistics hub can provide early warning to other interconnected hubs, enabling preventi</w:t>
            </w:r>
            <w:r>
              <w:rPr>
                <w:sz w:val="18"/>
                <w:szCs w:val="18"/>
              </w:rPr>
              <w:t>ve action before the same threat causes further disruptionAim to strengthen robustness, resilience and efficiency of a Smart Logistic Hub</w:t>
            </w:r>
          </w:p>
        </w:tc>
        <w:tc>
          <w:tcPr>
            <w:tcW w:w="1600" w:type="dxa"/>
            <w:noWrap/>
          </w:tcPr>
          <w:p w14:paraId="27E71D15" w14:textId="77777777" w:rsidR="004A3F27" w:rsidRDefault="004A3F27">
            <w:pPr>
              <w:pStyle w:val="noSpacing"/>
            </w:pPr>
          </w:p>
        </w:tc>
      </w:tr>
      <w:tr w:rsidR="004A3F27" w14:paraId="65E0E45E" w14:textId="77777777">
        <w:trPr>
          <w:cantSplit/>
        </w:trPr>
        <w:tc>
          <w:tcPr>
            <w:tcW w:w="800" w:type="dxa"/>
            <w:noWrap/>
          </w:tcPr>
          <w:p w14:paraId="636B8605" w14:textId="77777777" w:rsidR="004A3F27" w:rsidRDefault="00FF26F3">
            <w:pPr>
              <w:pStyle w:val="noSpacing"/>
            </w:pPr>
            <w:r>
              <w:t>16:26</w:t>
            </w:r>
          </w:p>
        </w:tc>
        <w:tc>
          <w:tcPr>
            <w:tcW w:w="1600" w:type="dxa"/>
            <w:noWrap/>
          </w:tcPr>
          <w:p w14:paraId="2F015A50" w14:textId="77777777" w:rsidR="004A3F27" w:rsidRDefault="00FF26F3">
            <w:pPr>
              <w:pStyle w:val="noSpacing"/>
            </w:pPr>
            <w:hyperlink r:id="rId35" w:history="1">
              <w:r>
                <w:rPr>
                  <w:color w:val="71BD54"/>
                  <w:u w:val="single"/>
                </w:rPr>
                <w:t>H6: VIGIL</w:t>
              </w:r>
            </w:hyperlink>
            <w:r>
              <w:br/>
            </w:r>
            <w:r>
              <w:br/>
            </w:r>
            <w:r>
              <w:rPr>
                <w:sz w:val="16"/>
                <w:szCs w:val="16"/>
              </w:rPr>
              <w:t>Contact:</w:t>
            </w:r>
            <w:r>
              <w:br/>
            </w:r>
            <w:r>
              <w:rPr>
                <w:sz w:val="16"/>
                <w:szCs w:val="16"/>
              </w:rPr>
              <w:t>Filipe Custódio (Portugal)</w:t>
            </w:r>
          </w:p>
        </w:tc>
        <w:tc>
          <w:tcPr>
            <w:tcW w:w="6800" w:type="dxa"/>
            <w:noWrap/>
          </w:tcPr>
          <w:p w14:paraId="61F28980" w14:textId="77777777" w:rsidR="004A3F27" w:rsidRDefault="00FF26F3">
            <w:pPr>
              <w:pStyle w:val="noSpacing"/>
            </w:pPr>
            <w:r>
              <w:rPr>
                <w:sz w:val="18"/>
                <w:szCs w:val="18"/>
              </w:rPr>
              <w:t>VIGIL is an explainable cyber risk logistics platform that helps MSSPs, SMEs and regulated organisations transform fragmented vulnerability data into auditable, validated and actionable decisions. By combining exploitability intelligence, safe validation, remediation governance and compliance evidence, VIGIL enables organisations to prioritise real risks, streamline remediation and demonstrate measurable risk reduction while supporting NIS2 and CRA requirements.</w:t>
            </w:r>
          </w:p>
        </w:tc>
        <w:tc>
          <w:tcPr>
            <w:tcW w:w="1600" w:type="dxa"/>
            <w:noWrap/>
          </w:tcPr>
          <w:p w14:paraId="3091D68E" w14:textId="77777777" w:rsidR="004A3F27" w:rsidRDefault="004A3F27">
            <w:pPr>
              <w:pStyle w:val="noSpacing"/>
            </w:pPr>
          </w:p>
        </w:tc>
      </w:tr>
      <w:tr w:rsidR="004A3F27" w14:paraId="745882A1" w14:textId="77777777">
        <w:trPr>
          <w:cantSplit/>
        </w:trPr>
        <w:tc>
          <w:tcPr>
            <w:tcW w:w="800" w:type="dxa"/>
            <w:noWrap/>
          </w:tcPr>
          <w:p w14:paraId="7FA5E1BB" w14:textId="77777777" w:rsidR="004A3F27" w:rsidRDefault="00FF26F3">
            <w:pPr>
              <w:pStyle w:val="noSpacing"/>
            </w:pPr>
            <w:r>
              <w:t>16:30</w:t>
            </w:r>
          </w:p>
        </w:tc>
        <w:tc>
          <w:tcPr>
            <w:tcW w:w="1600" w:type="dxa"/>
            <w:noWrap/>
          </w:tcPr>
          <w:p w14:paraId="19D1BF3E" w14:textId="77777777" w:rsidR="004A3F27" w:rsidRDefault="00FF26F3">
            <w:pPr>
              <w:pStyle w:val="noSpacing"/>
            </w:pPr>
            <w:hyperlink r:id="rId36" w:history="1">
              <w:r>
                <w:rPr>
                  <w:color w:val="71BD54"/>
                  <w:u w:val="single"/>
                </w:rPr>
                <w:t>H7: SOC-EU</w:t>
              </w:r>
            </w:hyperlink>
            <w:r>
              <w:br/>
            </w:r>
            <w:r>
              <w:br/>
            </w:r>
            <w:r>
              <w:rPr>
                <w:sz w:val="16"/>
                <w:szCs w:val="16"/>
              </w:rPr>
              <w:t>Contact:</w:t>
            </w:r>
            <w:r>
              <w:br/>
            </w:r>
            <w:r>
              <w:rPr>
                <w:sz w:val="16"/>
                <w:szCs w:val="16"/>
              </w:rPr>
              <w:t>Irena Mesaric (Slovenia)</w:t>
            </w:r>
          </w:p>
        </w:tc>
        <w:tc>
          <w:tcPr>
            <w:tcW w:w="6800" w:type="dxa"/>
            <w:noWrap/>
          </w:tcPr>
          <w:p w14:paraId="1EA26E30" w14:textId="77777777" w:rsidR="004A3F27" w:rsidRDefault="00FF26F3">
            <w:pPr>
              <w:pStyle w:val="noSpacing"/>
            </w:pPr>
            <w:r>
              <w:rPr>
                <w:sz w:val="18"/>
                <w:szCs w:val="18"/>
              </w:rPr>
              <w:t>SOC-EU will develop an EU-sovereign SOC-as-a-service for European SMEs newly exposed to NIS2 cybersecurity obligations. The service combines calibrated LLM-based alert triage with fail-safe human escalation, multi-tenant detection engineering, privacy-preserving collective protection and automated NIS2 reporting from runtime telemetry. The goal is to let one SOC team serve many SME customers at a price point far below enterprise MDR offerings, while keeping inference and data processing under EU jurisdictio</w:t>
            </w:r>
            <w:r>
              <w:rPr>
                <w:sz w:val="18"/>
                <w:szCs w:val="18"/>
              </w:rPr>
              <w:t>n.</w:t>
            </w:r>
          </w:p>
        </w:tc>
        <w:tc>
          <w:tcPr>
            <w:tcW w:w="1600" w:type="dxa"/>
            <w:noWrap/>
          </w:tcPr>
          <w:p w14:paraId="5869F7E9" w14:textId="77777777" w:rsidR="004A3F27" w:rsidRDefault="004A3F27">
            <w:pPr>
              <w:pStyle w:val="noSpacing"/>
            </w:pPr>
          </w:p>
        </w:tc>
      </w:tr>
      <w:tr w:rsidR="004A3F27" w14:paraId="176A7D2C" w14:textId="77777777">
        <w:trPr>
          <w:cantSplit/>
        </w:trPr>
        <w:tc>
          <w:tcPr>
            <w:tcW w:w="800" w:type="dxa"/>
            <w:noWrap/>
          </w:tcPr>
          <w:p w14:paraId="0298444B" w14:textId="77777777" w:rsidR="004A3F27" w:rsidRDefault="00FF26F3">
            <w:pPr>
              <w:pStyle w:val="noSpacing"/>
            </w:pPr>
            <w:r>
              <w:lastRenderedPageBreak/>
              <w:t>16:34</w:t>
            </w:r>
          </w:p>
        </w:tc>
        <w:tc>
          <w:tcPr>
            <w:tcW w:w="1600" w:type="dxa"/>
            <w:noWrap/>
          </w:tcPr>
          <w:p w14:paraId="268090A5" w14:textId="77777777" w:rsidR="004A3F27" w:rsidRDefault="00FF26F3">
            <w:pPr>
              <w:pStyle w:val="noSpacing"/>
            </w:pPr>
            <w:hyperlink r:id="rId37" w:history="1">
              <w:r>
                <w:rPr>
                  <w:color w:val="71BD54"/>
                  <w:u w:val="single"/>
                </w:rPr>
                <w:t>H8: QUALIA</w:t>
              </w:r>
            </w:hyperlink>
            <w:r>
              <w:br/>
            </w:r>
            <w:r>
              <w:br/>
            </w:r>
            <w:r>
              <w:rPr>
                <w:sz w:val="16"/>
                <w:szCs w:val="16"/>
              </w:rPr>
              <w:t>Contact:</w:t>
            </w:r>
            <w:r>
              <w:br/>
            </w:r>
            <w:r>
              <w:rPr>
                <w:sz w:val="16"/>
                <w:szCs w:val="16"/>
              </w:rPr>
              <w:t>Joanna Morozowska (The Netherlands)</w:t>
            </w:r>
          </w:p>
        </w:tc>
        <w:tc>
          <w:tcPr>
            <w:tcW w:w="6800" w:type="dxa"/>
            <w:noWrap/>
          </w:tcPr>
          <w:p w14:paraId="2D39C18B" w14:textId="77777777" w:rsidR="004A3F27" w:rsidRDefault="00FF26F3">
            <w:pPr>
              <w:pStyle w:val="noSpacing"/>
            </w:pPr>
            <w:r>
              <w:rPr>
                <w:sz w:val="18"/>
                <w:szCs w:val="18"/>
              </w:rPr>
              <w:t>Every AI development system today is human-in-the loop: a person approves each step, and certification assumes it. QUALIA takes the person out of the loop and keeps the certificate. A team of AI agents first learns the company and its standard, is qualified before it may work — like any engineer — and then carries a change from request to tested release, on European open models, on the organisation's own hardware.</w:t>
            </w:r>
          </w:p>
        </w:tc>
        <w:tc>
          <w:tcPr>
            <w:tcW w:w="1600" w:type="dxa"/>
            <w:noWrap/>
          </w:tcPr>
          <w:p w14:paraId="1BC2B36F" w14:textId="77777777" w:rsidR="004A3F27" w:rsidRDefault="004A3F27">
            <w:pPr>
              <w:pStyle w:val="noSpacing"/>
            </w:pPr>
          </w:p>
        </w:tc>
      </w:tr>
      <w:tr w:rsidR="004A3F27" w14:paraId="6227BC43" w14:textId="77777777">
        <w:trPr>
          <w:cantSplit/>
        </w:trPr>
        <w:tc>
          <w:tcPr>
            <w:tcW w:w="800" w:type="dxa"/>
            <w:noWrap/>
          </w:tcPr>
          <w:p w14:paraId="6B50BE46" w14:textId="77777777" w:rsidR="004A3F27" w:rsidRDefault="00FF26F3">
            <w:pPr>
              <w:pStyle w:val="noSpacing"/>
            </w:pPr>
            <w:r>
              <w:t>16:38</w:t>
            </w:r>
          </w:p>
        </w:tc>
        <w:tc>
          <w:tcPr>
            <w:tcW w:w="1600" w:type="dxa"/>
            <w:noWrap/>
          </w:tcPr>
          <w:p w14:paraId="13A0739A" w14:textId="77777777" w:rsidR="004A3F27" w:rsidRDefault="00FF26F3">
            <w:pPr>
              <w:pStyle w:val="noSpacing"/>
            </w:pPr>
            <w:hyperlink r:id="rId38" w:history="1">
              <w:r>
                <w:rPr>
                  <w:color w:val="71BD54"/>
                  <w:u w:val="single"/>
                </w:rPr>
                <w:t>H11: AeroAgent-X</w:t>
              </w:r>
            </w:hyperlink>
            <w:r>
              <w:br/>
            </w:r>
            <w:r>
              <w:br/>
            </w:r>
            <w:r>
              <w:rPr>
                <w:sz w:val="16"/>
                <w:szCs w:val="16"/>
              </w:rPr>
              <w:t>Contact:</w:t>
            </w:r>
            <w:r>
              <w:br/>
            </w:r>
            <w:r>
              <w:rPr>
                <w:sz w:val="16"/>
                <w:szCs w:val="16"/>
              </w:rPr>
              <w:t>Oguzhan Urhan (Germany)</w:t>
            </w:r>
          </w:p>
        </w:tc>
        <w:tc>
          <w:tcPr>
            <w:tcW w:w="6800" w:type="dxa"/>
            <w:noWrap/>
          </w:tcPr>
          <w:p w14:paraId="0D7F8B47" w14:textId="77777777" w:rsidR="004A3F27" w:rsidRDefault="00FF26F3">
            <w:pPr>
              <w:pStyle w:val="noSpacing"/>
            </w:pPr>
            <w:r>
              <w:rPr>
                <w:sz w:val="18"/>
                <w:szCs w:val="18"/>
              </w:rPr>
              <w:t>AeroAgent-X (building upon the ITEA 25055 DRONIAC initiative) establishes a safety-certifiable, on-device Agentic Vision and Decision-Making framework for autonomous drone fleets dedicated to critical infrastructure protection. Rather than relying on generic swarm communications, the project deploys embedded Vision-Language-Action (VLA) models encapsulated by deterministic runtime verification monitors aligned with DO-178C/ED-12C and emerging aeronautical AI standards (EUROCAE WG-114 / SAE G-34) directly on</w:t>
            </w:r>
            <w:r>
              <w:rPr>
                <w:sz w:val="18"/>
                <w:szCs w:val="18"/>
              </w:rPr>
              <w:t xml:space="preserve"> UAV edge hardware. This enables autonomous fleets to semantically understand dynamic hazards (e.g., thermal propagation, industrial leaks, perimeter breaches), autonomously synthesize tactical action plans, and enforce site-safety workflows without ground station or cloud intervention.</w:t>
            </w:r>
          </w:p>
        </w:tc>
        <w:tc>
          <w:tcPr>
            <w:tcW w:w="1600" w:type="dxa"/>
            <w:noWrap/>
          </w:tcPr>
          <w:p w14:paraId="710EDC56" w14:textId="77777777" w:rsidR="004A3F27" w:rsidRDefault="004A3F27">
            <w:pPr>
              <w:pStyle w:val="noSpacing"/>
            </w:pPr>
          </w:p>
        </w:tc>
      </w:tr>
      <w:tr w:rsidR="004A3F27" w14:paraId="0A68A8DE" w14:textId="77777777">
        <w:trPr>
          <w:cantSplit/>
        </w:trPr>
        <w:tc>
          <w:tcPr>
            <w:tcW w:w="800" w:type="dxa"/>
            <w:noWrap/>
          </w:tcPr>
          <w:p w14:paraId="296E3B45" w14:textId="77777777" w:rsidR="004A3F27" w:rsidRDefault="00FF26F3">
            <w:pPr>
              <w:pStyle w:val="noSpacing"/>
            </w:pPr>
            <w:r>
              <w:t>16:42</w:t>
            </w:r>
          </w:p>
        </w:tc>
        <w:tc>
          <w:tcPr>
            <w:tcW w:w="1600" w:type="dxa"/>
            <w:noWrap/>
          </w:tcPr>
          <w:p w14:paraId="04E4933F" w14:textId="77777777" w:rsidR="004A3F27" w:rsidRDefault="00FF26F3">
            <w:pPr>
              <w:pStyle w:val="noSpacing"/>
            </w:pPr>
            <w:hyperlink r:id="rId39" w:history="1">
              <w:r>
                <w:rPr>
                  <w:color w:val="71BD54"/>
                  <w:u w:val="single"/>
                </w:rPr>
                <w:t>H12: FIDELIS</w:t>
              </w:r>
            </w:hyperlink>
            <w:r>
              <w:br/>
            </w:r>
            <w:r>
              <w:br/>
            </w:r>
            <w:r>
              <w:rPr>
                <w:sz w:val="16"/>
                <w:szCs w:val="16"/>
              </w:rPr>
              <w:t>Contact:</w:t>
            </w:r>
            <w:r>
              <w:br/>
            </w:r>
            <w:r>
              <w:rPr>
                <w:sz w:val="16"/>
                <w:szCs w:val="16"/>
              </w:rPr>
              <w:t>Oguzhan Urhan (Germany)</w:t>
            </w:r>
          </w:p>
        </w:tc>
        <w:tc>
          <w:tcPr>
            <w:tcW w:w="6800" w:type="dxa"/>
            <w:noWrap/>
          </w:tcPr>
          <w:p w14:paraId="4FF18ECF" w14:textId="77777777" w:rsidR="004A3F27" w:rsidRDefault="00FF26F3">
            <w:pPr>
              <w:pStyle w:val="noSpacing"/>
            </w:pPr>
            <w:r>
              <w:rPr>
                <w:sz w:val="18"/>
                <w:szCs w:val="18"/>
              </w:rPr>
              <w:t>FIDELIS (Federated Identity and Decentralized Edge Learning Integrity Suit) is an open, privacy-preserving software platform designed to neutralize generative AI deepfakes and centralized data risks during digital onboarding and continuous authentication. By combining hardware-accelerated edge verification—such as rPPG physiological sensing and physical anti-spoofing—with Zero-Knowledge Proofs (ZKP), raw biometric data never leaves the user's device, establishing an uncompromised root of trust at the edge.B</w:t>
            </w:r>
            <w:r>
              <w:rPr>
                <w:sz w:val="18"/>
                <w:szCs w:val="18"/>
              </w:rPr>
              <w:t>eyond single-device security, FIDELIS features a federated learning mesh that enables cross-domain threat intelligence sharing across banking, telecoms, mobility, and e-services without exposing sensitive data. By aligning decentralized collective learning with European standards like eIDAS 2.0 and the EU AI Act, the platform delivers a scalable, friction-free identity orchestration framework.</w:t>
            </w:r>
          </w:p>
        </w:tc>
        <w:tc>
          <w:tcPr>
            <w:tcW w:w="1600" w:type="dxa"/>
            <w:noWrap/>
          </w:tcPr>
          <w:p w14:paraId="01007A83" w14:textId="77777777" w:rsidR="004A3F27" w:rsidRDefault="004A3F27">
            <w:pPr>
              <w:pStyle w:val="noSpacing"/>
            </w:pPr>
          </w:p>
        </w:tc>
      </w:tr>
      <w:tr w:rsidR="004A3F27" w14:paraId="063243AE" w14:textId="77777777">
        <w:trPr>
          <w:cantSplit/>
        </w:trPr>
        <w:tc>
          <w:tcPr>
            <w:tcW w:w="800" w:type="dxa"/>
            <w:noWrap/>
          </w:tcPr>
          <w:p w14:paraId="6C2305BE" w14:textId="77777777" w:rsidR="004A3F27" w:rsidRDefault="00FF26F3">
            <w:pPr>
              <w:pStyle w:val="noSpacing"/>
            </w:pPr>
            <w:r>
              <w:t>16:46</w:t>
            </w:r>
          </w:p>
        </w:tc>
        <w:tc>
          <w:tcPr>
            <w:tcW w:w="1600" w:type="dxa"/>
            <w:noWrap/>
          </w:tcPr>
          <w:p w14:paraId="16A03F1A" w14:textId="77777777" w:rsidR="004A3F27" w:rsidRDefault="00FF26F3">
            <w:pPr>
              <w:pStyle w:val="noSpacing"/>
            </w:pPr>
            <w:hyperlink r:id="rId40" w:history="1">
              <w:r>
                <w:rPr>
                  <w:color w:val="71BD54"/>
                  <w:u w:val="single"/>
                </w:rPr>
                <w:t>H13: QUBIVERA</w:t>
              </w:r>
            </w:hyperlink>
            <w:r>
              <w:br/>
            </w:r>
            <w:r>
              <w:br/>
            </w:r>
            <w:r>
              <w:rPr>
                <w:sz w:val="16"/>
                <w:szCs w:val="16"/>
              </w:rPr>
              <w:t>Contact:</w:t>
            </w:r>
            <w:r>
              <w:br/>
            </w:r>
            <w:r>
              <w:rPr>
                <w:sz w:val="16"/>
                <w:szCs w:val="16"/>
              </w:rPr>
              <w:t>Ozgur Dogan (Türkiye)</w:t>
            </w:r>
          </w:p>
        </w:tc>
        <w:tc>
          <w:tcPr>
            <w:tcW w:w="6800" w:type="dxa"/>
            <w:noWrap/>
          </w:tcPr>
          <w:p w14:paraId="1CA187E9" w14:textId="77777777" w:rsidR="004A3F27" w:rsidRDefault="00FF26F3">
            <w:pPr>
              <w:pStyle w:val="noSpacing"/>
            </w:pPr>
            <w:r>
              <w:rPr>
                <w:sz w:val="18"/>
                <w:szCs w:val="18"/>
              </w:rPr>
              <w:t>A privacy-preserving identity assurance platform combining quality-aware biometric AI, post-quantum cryptography and tamper-evident verification evidence for borders and other high-risk environments.</w:t>
            </w:r>
          </w:p>
        </w:tc>
        <w:tc>
          <w:tcPr>
            <w:tcW w:w="1600" w:type="dxa"/>
            <w:noWrap/>
          </w:tcPr>
          <w:p w14:paraId="7BE7C9B6" w14:textId="77777777" w:rsidR="004A3F27" w:rsidRDefault="004A3F27">
            <w:pPr>
              <w:pStyle w:val="noSpacing"/>
            </w:pPr>
          </w:p>
        </w:tc>
      </w:tr>
      <w:tr w:rsidR="004A3F27" w14:paraId="3ADA16D5" w14:textId="77777777">
        <w:trPr>
          <w:cantSplit/>
        </w:trPr>
        <w:tc>
          <w:tcPr>
            <w:tcW w:w="800" w:type="dxa"/>
            <w:noWrap/>
          </w:tcPr>
          <w:p w14:paraId="515B27BA" w14:textId="77777777" w:rsidR="004A3F27" w:rsidRDefault="00FF26F3">
            <w:pPr>
              <w:pStyle w:val="noSpacing"/>
            </w:pPr>
            <w:r>
              <w:t>16:50</w:t>
            </w:r>
          </w:p>
        </w:tc>
        <w:tc>
          <w:tcPr>
            <w:tcW w:w="1600" w:type="dxa"/>
            <w:noWrap/>
          </w:tcPr>
          <w:p w14:paraId="310FE948" w14:textId="77777777" w:rsidR="004A3F27" w:rsidRDefault="00FF26F3">
            <w:pPr>
              <w:pStyle w:val="noSpacing"/>
            </w:pPr>
            <w:hyperlink r:id="rId41" w:history="1">
              <w:r>
                <w:rPr>
                  <w:color w:val="71BD54"/>
                  <w:u w:val="single"/>
                </w:rPr>
                <w:t>E22: AI-assisted Shift Left</w:t>
              </w:r>
            </w:hyperlink>
            <w:r>
              <w:br/>
            </w:r>
            <w:r>
              <w:br/>
            </w:r>
            <w:r>
              <w:rPr>
                <w:sz w:val="16"/>
                <w:szCs w:val="16"/>
              </w:rPr>
              <w:t>Contact:</w:t>
            </w:r>
            <w:r>
              <w:br/>
            </w:r>
            <w:r>
              <w:rPr>
                <w:sz w:val="16"/>
                <w:szCs w:val="16"/>
              </w:rPr>
              <w:t>Ayushi Rastogi (The Netherlands)</w:t>
            </w:r>
          </w:p>
        </w:tc>
        <w:tc>
          <w:tcPr>
            <w:tcW w:w="6800" w:type="dxa"/>
            <w:noWrap/>
          </w:tcPr>
          <w:p w14:paraId="4A753969" w14:textId="77777777" w:rsidR="004A3F27" w:rsidRDefault="00FF26F3">
            <w:pPr>
              <w:pStyle w:val="noSpacing"/>
            </w:pPr>
            <w:r>
              <w:rPr>
                <w:sz w:val="18"/>
                <w:szCs w:val="18"/>
              </w:rPr>
              <w:t>AI has transformed how software is developed. While a growing range of AI tools, such as GitHub Copilot and Claude, generate code, responsibility for understanding stakeholders' concerns, specifying functional and non-functional requirements, and addressing those through design still rests with humans. As software is getting built at an unprecedented speed and scale with AI, developers and teams increasingly risk losing sight of the requirements and design decisions that underpin the resulting systems. This</w:t>
            </w:r>
            <w:r>
              <w:rPr>
                <w:sz w:val="18"/>
                <w:szCs w:val="18"/>
              </w:rPr>
              <w:t xml:space="preserve"> has grave consequences for the evolution of large and complex systems, as changes to the codebase compromise earlier design decisions and invalidate requirements, leading to bugs, security vulnerabilities, and technical debt. To restore this critical understanding, this project aims to use AI tools for reconstructing requirements and design knowledge (e.g., decisions, rationale, constraints, principles, assumptions, context) from a number of artifacts generated throughout software development (e.g., code c</w:t>
            </w:r>
            <w:r>
              <w:rPr>
                <w:sz w:val="18"/>
                <w:szCs w:val="18"/>
              </w:rPr>
              <w:t>omments, issues, pull requests, commit messages, communications). By recovering this knowledge and combining it with advances in AI-assisted development, the project seeks to help teams build software both faster and without breaking prior requirements and design decisions. The recovered knowledge can be used by both engineers and AI agents to collaboratively make further changes to the system, which can be validated and verified, enabling safe code generation.</w:t>
            </w:r>
          </w:p>
        </w:tc>
        <w:tc>
          <w:tcPr>
            <w:tcW w:w="1600" w:type="dxa"/>
            <w:noWrap/>
          </w:tcPr>
          <w:p w14:paraId="0E284B36" w14:textId="77777777" w:rsidR="004A3F27" w:rsidRDefault="004A3F27">
            <w:pPr>
              <w:pStyle w:val="noSpacing"/>
            </w:pPr>
          </w:p>
        </w:tc>
      </w:tr>
    </w:tbl>
    <w:p w14:paraId="5BAAB667" w14:textId="77777777" w:rsidR="00FF26F3" w:rsidRDefault="00FF26F3"/>
    <w:sectPr w:rsidR="00FF26F3">
      <w:headerReference w:type="default" r:id="rId42"/>
      <w:footerReference w:type="default" r:id="rId43"/>
      <w:pgSz w:w="11905" w:h="16837"/>
      <w:pgMar w:top="1500" w:right="500" w:bottom="600" w:left="500" w:header="200" w:footer="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12E53D" w14:textId="77777777" w:rsidR="00FF26F3" w:rsidRDefault="00FF26F3">
      <w:pPr>
        <w:spacing w:after="0" w:line="240" w:lineRule="auto"/>
      </w:pPr>
      <w:r>
        <w:separator/>
      </w:r>
    </w:p>
  </w:endnote>
  <w:endnote w:type="continuationSeparator" w:id="0">
    <w:p w14:paraId="76E39F4B" w14:textId="77777777" w:rsidR="00FF26F3" w:rsidRDefault="00FF2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7CB3DA" w14:textId="75D09893" w:rsidR="004A3F27" w:rsidRDefault="00487035">
    <w:pPr>
      <w:jc w:val="right"/>
    </w:pPr>
    <w:r>
      <w:rPr>
        <w:noProof/>
      </w:rPr>
      <w:drawing>
        <wp:anchor distT="0" distB="0" distL="114300" distR="114300" simplePos="0" relativeHeight="251662336" behindDoc="0" locked="0" layoutInCell="1" allowOverlap="1" wp14:anchorId="5E7A2DD8" wp14:editId="1F0F8A32">
          <wp:simplePos x="0" y="0"/>
          <wp:positionH relativeFrom="page">
            <wp:posOffset>5220241</wp:posOffset>
          </wp:positionH>
          <wp:positionV relativeFrom="page">
            <wp:posOffset>9931805</wp:posOffset>
          </wp:positionV>
          <wp:extent cx="2105768" cy="702696"/>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768" cy="70269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10BC04" w14:textId="77777777" w:rsidR="00FF26F3" w:rsidRDefault="00FF26F3">
      <w:pPr>
        <w:spacing w:after="0" w:line="240" w:lineRule="auto"/>
      </w:pPr>
      <w:r>
        <w:separator/>
      </w:r>
    </w:p>
  </w:footnote>
  <w:footnote w:type="continuationSeparator" w:id="0">
    <w:p w14:paraId="6FDEE816" w14:textId="77777777" w:rsidR="00FF26F3" w:rsidRDefault="00FF2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45E80A" w14:textId="396DFBF5" w:rsidR="004A3F27" w:rsidRDefault="00487035">
    <w:r>
      <w:rPr>
        <w:noProof/>
      </w:rPr>
      <w:drawing>
        <wp:anchor distT="0" distB="0" distL="114300" distR="114300" simplePos="0" relativeHeight="251660288" behindDoc="0" locked="0" layoutInCell="1" allowOverlap="1" wp14:anchorId="528C966F" wp14:editId="4B67B7E6">
          <wp:simplePos x="0" y="0"/>
          <wp:positionH relativeFrom="column">
            <wp:posOffset>-2188723</wp:posOffset>
          </wp:positionH>
          <wp:positionV relativeFrom="paragraph">
            <wp:posOffset>-117367</wp:posOffset>
          </wp:positionV>
          <wp:extent cx="12746918" cy="771524"/>
          <wp:effectExtent l="0" t="0" r="0" b="3810"/>
          <wp:wrapNone/>
          <wp:docPr id="30741459" name="Picture 3074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1459" name="Picture 30741459"/>
                  <pic:cNvPicPr/>
                </pic:nvPicPr>
                <pic:blipFill>
                  <a:blip r:embed="rId1">
                    <a:extLst>
                      <a:ext uri="{28A0092B-C50C-407E-A947-70E740481C1C}">
                        <a14:useLocalDpi xmlns:a14="http://schemas.microsoft.com/office/drawing/2010/main" val="0"/>
                      </a:ext>
                    </a:extLst>
                  </a:blip>
                  <a:stretch>
                    <a:fillRect/>
                  </a:stretch>
                </pic:blipFill>
                <pic:spPr>
                  <a:xfrm>
                    <a:off x="0" y="0"/>
                    <a:ext cx="12746918" cy="77152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08"/>
  <w:hyphenationZone w:val="425"/>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F27"/>
    <w:rsid w:val="00487035"/>
    <w:rsid w:val="004A3F27"/>
    <w:rsid w:val="0084689E"/>
    <w:rsid w:val="00FF2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A7A85A"/>
  <w15:docId w15:val="{F3DFB6A4-C5B8-4F41-96D8-F19C6087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000000"/>
        <w:lang w:val="en-US"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customStyle="1" w:styleId="noSpacing">
    <w:name w:val="noSpacing"/>
    <w:basedOn w:val="Normal"/>
    <w:pPr>
      <w:spacing w:after="0"/>
    </w:pPr>
  </w:style>
  <w:style w:type="paragraph" w:styleId="Header">
    <w:name w:val="header"/>
    <w:basedOn w:val="Normal"/>
    <w:link w:val="HeaderChar"/>
    <w:uiPriority w:val="99"/>
    <w:unhideWhenUsed/>
    <w:rsid w:val="004870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035"/>
  </w:style>
  <w:style w:type="paragraph" w:styleId="Footer">
    <w:name w:val="footer"/>
    <w:basedOn w:val="Normal"/>
    <w:link w:val="FooterChar"/>
    <w:uiPriority w:val="99"/>
    <w:unhideWhenUsed/>
    <w:rsid w:val="004870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tea4.org/redirect/idea/2421" TargetMode="External"/><Relationship Id="rId18" Type="http://schemas.openxmlformats.org/officeDocument/2006/relationships/hyperlink" Target="https://itea4.org/redirect/idea/2467" TargetMode="External"/><Relationship Id="rId26" Type="http://schemas.openxmlformats.org/officeDocument/2006/relationships/hyperlink" Target="https://itea4.org/redirect/idea/2454" TargetMode="External"/><Relationship Id="rId39" Type="http://schemas.openxmlformats.org/officeDocument/2006/relationships/hyperlink" Target="https://itea4.org/redirect/idea/2498" TargetMode="External"/><Relationship Id="rId21" Type="http://schemas.openxmlformats.org/officeDocument/2006/relationships/hyperlink" Target="https://itea4.org/redirect/idea/2452" TargetMode="External"/><Relationship Id="rId34" Type="http://schemas.openxmlformats.org/officeDocument/2006/relationships/hyperlink" Target="https://itea4.org/redirect/idea/2455" TargetMode="External"/><Relationship Id="rId42" Type="http://schemas.openxmlformats.org/officeDocument/2006/relationships/header" Target="header1.xml"/><Relationship Id="rId7" Type="http://schemas.openxmlformats.org/officeDocument/2006/relationships/hyperlink" Target="https://itea4.org/redirect/idea/2437" TargetMode="External"/><Relationship Id="rId2" Type="http://schemas.openxmlformats.org/officeDocument/2006/relationships/settings" Target="settings.xml"/><Relationship Id="rId16" Type="http://schemas.openxmlformats.org/officeDocument/2006/relationships/hyperlink" Target="https://itea4.org/redirect/idea/2441" TargetMode="External"/><Relationship Id="rId29" Type="http://schemas.openxmlformats.org/officeDocument/2006/relationships/hyperlink" Target="https://itea4.org/redirect/idea/2487" TargetMode="External"/><Relationship Id="rId1" Type="http://schemas.openxmlformats.org/officeDocument/2006/relationships/styles" Target="styles.xml"/><Relationship Id="rId6" Type="http://schemas.openxmlformats.org/officeDocument/2006/relationships/hyperlink" Target="https://itea4.org/redirect/idea/2414" TargetMode="External"/><Relationship Id="rId11" Type="http://schemas.openxmlformats.org/officeDocument/2006/relationships/hyperlink" Target="https://itea4.org/redirect/idea/2507" TargetMode="External"/><Relationship Id="rId24" Type="http://schemas.openxmlformats.org/officeDocument/2006/relationships/hyperlink" Target="https://itea4.org/redirect/idea/2435" TargetMode="External"/><Relationship Id="rId32" Type="http://schemas.openxmlformats.org/officeDocument/2006/relationships/hyperlink" Target="https://itea4.org/redirect/idea/2443" TargetMode="External"/><Relationship Id="rId37" Type="http://schemas.openxmlformats.org/officeDocument/2006/relationships/hyperlink" Target="https://itea4.org/redirect/idea/2478" TargetMode="External"/><Relationship Id="rId40" Type="http://schemas.openxmlformats.org/officeDocument/2006/relationships/hyperlink" Target="https://itea4.org/redirect/idea/2515" TargetMode="Externa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itea4.org/redirect/idea/2438" TargetMode="External"/><Relationship Id="rId23" Type="http://schemas.openxmlformats.org/officeDocument/2006/relationships/hyperlink" Target="https://itea4.org/redirect/idea/2410" TargetMode="External"/><Relationship Id="rId28" Type="http://schemas.openxmlformats.org/officeDocument/2006/relationships/hyperlink" Target="https://itea4.org/redirect/idea/2481" TargetMode="External"/><Relationship Id="rId36" Type="http://schemas.openxmlformats.org/officeDocument/2006/relationships/hyperlink" Target="https://itea4.org/redirect/idea/2464" TargetMode="External"/><Relationship Id="rId10" Type="http://schemas.openxmlformats.org/officeDocument/2006/relationships/hyperlink" Target="https://itea4.org/redirect/idea/2506" TargetMode="External"/><Relationship Id="rId19" Type="http://schemas.openxmlformats.org/officeDocument/2006/relationships/hyperlink" Target="https://itea4.org/redirect/idea/2412" TargetMode="External"/><Relationship Id="rId31" Type="http://schemas.openxmlformats.org/officeDocument/2006/relationships/hyperlink" Target="https://itea4.org/redirect/idea/2427"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tea4.org/redirect/idea/2453" TargetMode="External"/><Relationship Id="rId14" Type="http://schemas.openxmlformats.org/officeDocument/2006/relationships/hyperlink" Target="https://itea4.org/redirect/idea/2429" TargetMode="External"/><Relationship Id="rId22" Type="http://schemas.openxmlformats.org/officeDocument/2006/relationships/hyperlink" Target="https://itea4.org/redirect/idea/2409" TargetMode="External"/><Relationship Id="rId27" Type="http://schemas.openxmlformats.org/officeDocument/2006/relationships/hyperlink" Target="https://itea4.org/redirect/idea/2477" TargetMode="External"/><Relationship Id="rId30" Type="http://schemas.openxmlformats.org/officeDocument/2006/relationships/hyperlink" Target="https://itea4.org/redirect/idea/2513" TargetMode="External"/><Relationship Id="rId35" Type="http://schemas.openxmlformats.org/officeDocument/2006/relationships/hyperlink" Target="https://itea4.org/redirect/idea/2457" TargetMode="External"/><Relationship Id="rId43" Type="http://schemas.openxmlformats.org/officeDocument/2006/relationships/footer" Target="footer1.xml"/><Relationship Id="rId8" Type="http://schemas.openxmlformats.org/officeDocument/2006/relationships/hyperlink" Target="https://itea4.org/redirect/idea/2450" TargetMode="External"/><Relationship Id="rId3" Type="http://schemas.openxmlformats.org/officeDocument/2006/relationships/webSettings" Target="webSettings.xml"/><Relationship Id="rId12" Type="http://schemas.openxmlformats.org/officeDocument/2006/relationships/hyperlink" Target="https://itea4.org/redirect/idea/2418" TargetMode="External"/><Relationship Id="rId17" Type="http://schemas.openxmlformats.org/officeDocument/2006/relationships/hyperlink" Target="https://itea4.org/redirect/idea/2446" TargetMode="External"/><Relationship Id="rId25" Type="http://schemas.openxmlformats.org/officeDocument/2006/relationships/hyperlink" Target="https://itea4.org/redirect/idea/2436" TargetMode="External"/><Relationship Id="rId33" Type="http://schemas.openxmlformats.org/officeDocument/2006/relationships/hyperlink" Target="https://itea4.org/redirect/idea/2445" TargetMode="External"/><Relationship Id="rId38" Type="http://schemas.openxmlformats.org/officeDocument/2006/relationships/hyperlink" Target="https://itea4.org/redirect/idea/2494" TargetMode="External"/><Relationship Id="rId20" Type="http://schemas.openxmlformats.org/officeDocument/2006/relationships/hyperlink" Target="https://itea4.org/redirect/idea/2482" TargetMode="External"/><Relationship Id="rId41" Type="http://schemas.openxmlformats.org/officeDocument/2006/relationships/hyperlink" Target="https://itea4.org/redirect/idea/250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5678</Words>
  <Characters>32371</Characters>
  <Application>Microsoft Office Word</Application>
  <DocSecurity>0</DocSecurity>
  <Lines>269</Lines>
  <Paragraphs>75</Paragraphs>
  <ScaleCrop>false</ScaleCrop>
  <Manager/>
  <Company/>
  <LinksUpToDate>false</LinksUpToDate>
  <CharactersWithSpaces>37974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Loes van den Borne | Leergeld Veldhoven &amp; De Kempen</dc:creator>
  <cp:keywords/>
  <dc:description/>
  <cp:lastModifiedBy>Loes van den Borne | Leergeld Veldhoven &amp; De Kempen</cp:lastModifiedBy>
  <cp:revision>2</cp:revision>
  <dcterms:created xsi:type="dcterms:W3CDTF">2026-09-09T08:51:00Z</dcterms:created>
  <dcterms:modified xsi:type="dcterms:W3CDTF">2026-09-09T08:51:00Z</dcterms:modified>
  <cp:category/>
</cp:coreProperties>
</file>