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45B98C" w14:textId="77777777" w:rsidR="001E721D" w:rsidRDefault="00000000">
      <w:r>
        <w:rPr>
          <w:b/>
          <w:bCs/>
          <w:sz w:val="40"/>
          <w:szCs w:val="40"/>
        </w:rPr>
        <w:t>Online project idea pitch session part I - ITEA Call 2026</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left w:w="80" w:type="dxa"/>
          <w:bottom w:w="80" w:type="dxa"/>
          <w:right w:w="80" w:type="dxa"/>
        </w:tblCellMar>
        <w:tblLook w:val="04A0" w:firstRow="1" w:lastRow="0" w:firstColumn="1" w:lastColumn="0" w:noHBand="0" w:noVBand="1"/>
      </w:tblPr>
      <w:tblGrid>
        <w:gridCol w:w="800"/>
        <w:gridCol w:w="1600"/>
        <w:gridCol w:w="6800"/>
        <w:gridCol w:w="1600"/>
      </w:tblGrid>
      <w:tr w:rsidR="001E721D" w14:paraId="4D9ACB21" w14:textId="77777777">
        <w:tc>
          <w:tcPr>
            <w:tcW w:w="800" w:type="dxa"/>
            <w:noWrap/>
          </w:tcPr>
          <w:p w14:paraId="283BE4B7" w14:textId="77777777" w:rsidR="001E721D" w:rsidRDefault="00000000">
            <w:pPr>
              <w:pStyle w:val="noSpacing"/>
            </w:pPr>
            <w:r>
              <w:rPr>
                <w:b/>
                <w:bCs/>
              </w:rPr>
              <w:t>Time</w:t>
            </w:r>
          </w:p>
        </w:tc>
        <w:tc>
          <w:tcPr>
            <w:tcW w:w="1600" w:type="dxa"/>
            <w:noWrap/>
          </w:tcPr>
          <w:p w14:paraId="1CC212E7" w14:textId="77777777" w:rsidR="001E721D" w:rsidRDefault="00000000">
            <w:pPr>
              <w:pStyle w:val="noSpacing"/>
            </w:pPr>
            <w:r>
              <w:rPr>
                <w:b/>
                <w:bCs/>
              </w:rPr>
              <w:t>Idea acronym</w:t>
            </w:r>
          </w:p>
        </w:tc>
        <w:tc>
          <w:tcPr>
            <w:tcW w:w="6800" w:type="dxa"/>
            <w:noWrap/>
          </w:tcPr>
          <w:p w14:paraId="5C5BFA43" w14:textId="77777777" w:rsidR="001E721D" w:rsidRDefault="00000000">
            <w:pPr>
              <w:pStyle w:val="noSpacing"/>
            </w:pPr>
            <w:r>
              <w:rPr>
                <w:b/>
                <w:bCs/>
              </w:rPr>
              <w:t>Short description</w:t>
            </w:r>
          </w:p>
        </w:tc>
        <w:tc>
          <w:tcPr>
            <w:tcW w:w="1600" w:type="dxa"/>
            <w:noWrap/>
          </w:tcPr>
          <w:p w14:paraId="4F9CCE15" w14:textId="77777777" w:rsidR="001E721D" w:rsidRDefault="00000000">
            <w:pPr>
              <w:pStyle w:val="noSpacing"/>
            </w:pPr>
            <w:r>
              <w:rPr>
                <w:b/>
                <w:bCs/>
              </w:rPr>
              <w:t>Notes</w:t>
            </w:r>
          </w:p>
        </w:tc>
      </w:tr>
      <w:tr w:rsidR="001E721D" w14:paraId="72E7A402" w14:textId="77777777">
        <w:trPr>
          <w:cantSplit/>
        </w:trPr>
        <w:tc>
          <w:tcPr>
            <w:tcW w:w="800" w:type="dxa"/>
            <w:noWrap/>
          </w:tcPr>
          <w:p w14:paraId="466F801D" w14:textId="77777777" w:rsidR="001E721D" w:rsidRDefault="00000000">
            <w:pPr>
              <w:pStyle w:val="noSpacing"/>
            </w:pPr>
            <w:r>
              <w:t>10:00</w:t>
            </w:r>
          </w:p>
        </w:tc>
        <w:tc>
          <w:tcPr>
            <w:tcW w:w="1600" w:type="dxa"/>
            <w:noWrap/>
          </w:tcPr>
          <w:p w14:paraId="3E92AB2E" w14:textId="77777777" w:rsidR="001E721D" w:rsidRDefault="00000000">
            <w:pPr>
              <w:pStyle w:val="noSpacing"/>
            </w:pPr>
            <w:hyperlink r:id="rId6" w:history="1">
              <w:r>
                <w:rPr>
                  <w:color w:val="71BD54"/>
                  <w:u w:val="single"/>
                </w:rPr>
                <w:t>A2: CD3IP</w:t>
              </w:r>
            </w:hyperlink>
            <w:r>
              <w:br/>
            </w:r>
            <w:r>
              <w:br/>
            </w:r>
            <w:r>
              <w:rPr>
                <w:sz w:val="16"/>
                <w:szCs w:val="16"/>
              </w:rPr>
              <w:t>Contact:</w:t>
            </w:r>
            <w:r>
              <w:br/>
            </w:r>
            <w:r>
              <w:rPr>
                <w:sz w:val="16"/>
                <w:szCs w:val="16"/>
              </w:rPr>
              <w:t>Merve Gözde Sayın Memiş (Türkiye)</w:t>
            </w:r>
          </w:p>
        </w:tc>
        <w:tc>
          <w:tcPr>
            <w:tcW w:w="6800" w:type="dxa"/>
            <w:noWrap/>
          </w:tcPr>
          <w:p w14:paraId="1BBDEAF7" w14:textId="77777777" w:rsidR="001E721D" w:rsidRDefault="00000000">
            <w:pPr>
              <w:pStyle w:val="noSpacing"/>
            </w:pPr>
            <w:r>
              <w:rPr>
                <w:sz w:val="18"/>
                <w:szCs w:val="18"/>
              </w:rPr>
              <w:t>CD3IP (Cross-Domain Infrastructure Investment Intelligence Platform) is a decision intelligence platform designed to transform how critical infrastructure investments are planned, prioritized, and optimized. Today, infrastructure investment decisions in sectors such as telecommunications, energy, transportation, and utilities are often based on manual assessments, fragmented data sources, and limited visibility into future outcomes.CD3IP combines predictive analytics, explainable decision support, federated learning, and hybrid digital twin technologies to create a data-driven framework that helps organizations determine where, when, and how to invest. The platform automatically generates and simulates large numbers of alternative investment scenarios, evaluates their outcomes under different constraints and future conditions, and recommends the most effective investment strategies.By providing transparent and explainable recommendations, CD3IP enables decision-makers to move from reactive planning to proactive, evidence-based investment management, improving both business performance and infrastructure resilience.</w:t>
            </w:r>
          </w:p>
        </w:tc>
        <w:tc>
          <w:tcPr>
            <w:tcW w:w="1600" w:type="dxa"/>
            <w:noWrap/>
          </w:tcPr>
          <w:p w14:paraId="5FEBC4BE" w14:textId="77777777" w:rsidR="001E721D" w:rsidRDefault="001E721D">
            <w:pPr>
              <w:pStyle w:val="noSpacing"/>
            </w:pPr>
          </w:p>
        </w:tc>
      </w:tr>
      <w:tr w:rsidR="001E721D" w14:paraId="12A4167D" w14:textId="77777777">
        <w:trPr>
          <w:cantSplit/>
        </w:trPr>
        <w:tc>
          <w:tcPr>
            <w:tcW w:w="800" w:type="dxa"/>
            <w:noWrap/>
          </w:tcPr>
          <w:p w14:paraId="3B8BCBA6" w14:textId="77777777" w:rsidR="001E721D" w:rsidRDefault="00000000">
            <w:pPr>
              <w:pStyle w:val="noSpacing"/>
            </w:pPr>
            <w:r>
              <w:t>10:04</w:t>
            </w:r>
          </w:p>
        </w:tc>
        <w:tc>
          <w:tcPr>
            <w:tcW w:w="1600" w:type="dxa"/>
            <w:noWrap/>
          </w:tcPr>
          <w:p w14:paraId="7D1080EF" w14:textId="77777777" w:rsidR="001E721D" w:rsidRDefault="00000000">
            <w:pPr>
              <w:pStyle w:val="noSpacing"/>
            </w:pPr>
            <w:hyperlink r:id="rId7" w:history="1">
              <w:r>
                <w:rPr>
                  <w:color w:val="71BD54"/>
                  <w:u w:val="single"/>
                </w:rPr>
                <w:t>A3: UrbanSafe</w:t>
              </w:r>
            </w:hyperlink>
            <w:r>
              <w:br/>
            </w:r>
            <w:r>
              <w:br/>
            </w:r>
            <w:r>
              <w:rPr>
                <w:sz w:val="16"/>
                <w:szCs w:val="16"/>
              </w:rPr>
              <w:t>Contact:</w:t>
            </w:r>
            <w:r>
              <w:br/>
            </w:r>
            <w:r>
              <w:rPr>
                <w:sz w:val="16"/>
                <w:szCs w:val="16"/>
              </w:rPr>
              <w:t>Kin Fai Chan (The Netherlands)</w:t>
            </w:r>
          </w:p>
        </w:tc>
        <w:tc>
          <w:tcPr>
            <w:tcW w:w="6800" w:type="dxa"/>
            <w:noWrap/>
          </w:tcPr>
          <w:p w14:paraId="7D2F44A9" w14:textId="77777777" w:rsidR="001E721D" w:rsidRDefault="00000000">
            <w:pPr>
              <w:pStyle w:val="noSpacing"/>
            </w:pPr>
            <w:r>
              <w:rPr>
                <w:sz w:val="18"/>
                <w:szCs w:val="18"/>
              </w:rPr>
              <w:t>UrbanSafe combines IoT, smartphone-based sensing, AI Computer Vision and other data sources to create a holistic safety intelligence platform for vulnerable road users. It captures vehicle, rider, bicycle, traffic, environmental and infrastructure data to identify risky behaviour, near-misses, crashes and other safety-critical events. By integrating multiple data streams, including sensor, mobility, infrastructure and subjective safety data, the platform provides a comprehensive understanding of road safety risks, identifies dangerous locations and patterns, and generates actionable insights to support safer behaviour, mobility services and urban infrastructure planning.</w:t>
            </w:r>
          </w:p>
        </w:tc>
        <w:tc>
          <w:tcPr>
            <w:tcW w:w="1600" w:type="dxa"/>
            <w:noWrap/>
          </w:tcPr>
          <w:p w14:paraId="196A008E" w14:textId="77777777" w:rsidR="001E721D" w:rsidRDefault="001E721D">
            <w:pPr>
              <w:pStyle w:val="noSpacing"/>
            </w:pPr>
          </w:p>
        </w:tc>
      </w:tr>
      <w:tr w:rsidR="001E721D" w14:paraId="429ECA93" w14:textId="77777777">
        <w:trPr>
          <w:cantSplit/>
        </w:trPr>
        <w:tc>
          <w:tcPr>
            <w:tcW w:w="800" w:type="dxa"/>
            <w:noWrap/>
          </w:tcPr>
          <w:p w14:paraId="3BFF7727" w14:textId="77777777" w:rsidR="001E721D" w:rsidRDefault="00000000">
            <w:pPr>
              <w:pStyle w:val="noSpacing"/>
            </w:pPr>
            <w:r>
              <w:t>10:08</w:t>
            </w:r>
          </w:p>
        </w:tc>
        <w:tc>
          <w:tcPr>
            <w:tcW w:w="1600" w:type="dxa"/>
            <w:noWrap/>
          </w:tcPr>
          <w:p w14:paraId="528AE06B" w14:textId="77777777" w:rsidR="001E721D" w:rsidRDefault="00000000">
            <w:pPr>
              <w:pStyle w:val="noSpacing"/>
            </w:pPr>
            <w:hyperlink r:id="rId8" w:history="1">
              <w:r>
                <w:rPr>
                  <w:color w:val="71BD54"/>
                  <w:u w:val="single"/>
                </w:rPr>
                <w:t xml:space="preserve">A4: Safety </w:t>
              </w:r>
            </w:hyperlink>
            <w:r>
              <w:br/>
            </w:r>
            <w:r>
              <w:br/>
            </w:r>
            <w:r>
              <w:rPr>
                <w:sz w:val="16"/>
                <w:szCs w:val="16"/>
              </w:rPr>
              <w:t>Contact:</w:t>
            </w:r>
            <w:r>
              <w:br/>
            </w:r>
            <w:r>
              <w:rPr>
                <w:sz w:val="16"/>
                <w:szCs w:val="16"/>
              </w:rPr>
              <w:t>Alex Park (Republic of Korea)</w:t>
            </w:r>
          </w:p>
        </w:tc>
        <w:tc>
          <w:tcPr>
            <w:tcW w:w="6800" w:type="dxa"/>
            <w:noWrap/>
          </w:tcPr>
          <w:p w14:paraId="34D04D20" w14:textId="77777777" w:rsidR="001E721D" w:rsidRDefault="00000000">
            <w:pPr>
              <w:pStyle w:val="noSpacing"/>
            </w:pPr>
            <w:r>
              <w:rPr>
                <w:sz w:val="18"/>
                <w:szCs w:val="18"/>
              </w:rPr>
              <w:t>URBAN-AI transforms existing urban CCTV data into real-time crowd and safety intelligence, enabling proactive risk detection, congestion management, and data-driven operational decisions in complex urban spaces.</w:t>
            </w:r>
          </w:p>
        </w:tc>
        <w:tc>
          <w:tcPr>
            <w:tcW w:w="1600" w:type="dxa"/>
            <w:noWrap/>
          </w:tcPr>
          <w:p w14:paraId="362B9FD0" w14:textId="77777777" w:rsidR="001E721D" w:rsidRDefault="001E721D">
            <w:pPr>
              <w:pStyle w:val="noSpacing"/>
            </w:pPr>
          </w:p>
        </w:tc>
      </w:tr>
      <w:tr w:rsidR="001E721D" w14:paraId="361EB4A6" w14:textId="77777777">
        <w:trPr>
          <w:cantSplit/>
        </w:trPr>
        <w:tc>
          <w:tcPr>
            <w:tcW w:w="800" w:type="dxa"/>
            <w:noWrap/>
          </w:tcPr>
          <w:p w14:paraId="60CE4556" w14:textId="77777777" w:rsidR="001E721D" w:rsidRDefault="00000000">
            <w:pPr>
              <w:pStyle w:val="noSpacing"/>
            </w:pPr>
            <w:r>
              <w:t>10:12</w:t>
            </w:r>
          </w:p>
        </w:tc>
        <w:tc>
          <w:tcPr>
            <w:tcW w:w="1600" w:type="dxa"/>
            <w:noWrap/>
          </w:tcPr>
          <w:p w14:paraId="6446EF92" w14:textId="77777777" w:rsidR="001E721D" w:rsidRDefault="00000000">
            <w:pPr>
              <w:pStyle w:val="noSpacing"/>
            </w:pPr>
            <w:hyperlink r:id="rId9" w:history="1">
              <w:r>
                <w:rPr>
                  <w:color w:val="71BD54"/>
                  <w:u w:val="single"/>
                </w:rPr>
                <w:t>A5: MicroCognis</w:t>
              </w:r>
            </w:hyperlink>
            <w:r>
              <w:br/>
            </w:r>
            <w:r>
              <w:br/>
            </w:r>
            <w:r>
              <w:rPr>
                <w:sz w:val="16"/>
                <w:szCs w:val="16"/>
              </w:rPr>
              <w:t>Contact:</w:t>
            </w:r>
            <w:r>
              <w:br/>
            </w:r>
            <w:r>
              <w:rPr>
                <w:sz w:val="16"/>
                <w:szCs w:val="16"/>
              </w:rPr>
              <w:t>Tuba Unver (Türkiye)</w:t>
            </w:r>
          </w:p>
        </w:tc>
        <w:tc>
          <w:tcPr>
            <w:tcW w:w="6800" w:type="dxa"/>
            <w:noWrap/>
          </w:tcPr>
          <w:p w14:paraId="1061B37F" w14:textId="29837237" w:rsidR="008E56C4" w:rsidRPr="000208EB" w:rsidRDefault="00000000" w:rsidP="000208EB">
            <w:pPr>
              <w:pStyle w:val="noSpacing"/>
              <w:rPr>
                <w:sz w:val="18"/>
                <w:szCs w:val="18"/>
              </w:rPr>
            </w:pPr>
            <w:r>
              <w:rPr>
                <w:sz w:val="18"/>
                <w:szCs w:val="18"/>
              </w:rPr>
              <w:t>This project presents an AI-based diagnostic platform for rapid, accurate detection of the malaria parasite Plasmodium falciparum. The system analyzes digital blood smear images (thick and thin smears) using deep learning models to automate parasite identification and measure parasitemia within seconds. It reduces human subjectivity, addresses limited expertise in high-risk areas, and enables early intervention to prevent serious complications such as cerebral malaria.This project aims to develop a unique, automation-based microbial identification system that enables direct, highly accurate, and rapid identification of trophozoite and gametocyte forms of Plasmodium falciparum from clinical samples. The system also calculates the percentage ratios of healthy erythrocytes and infected cells without manual calculation. Therefore, we developed a desktop application that analyzes microscopic images from a live camera feed using artificial intelligence to identify the pathogenic microorganism automatically. This system working algorithm follows these steps: Image Acquisition, Image Preprocessing, ResNet50 Model (deep learning model), Classification, Probability Calculation, Result Display.</w:t>
            </w:r>
          </w:p>
        </w:tc>
        <w:tc>
          <w:tcPr>
            <w:tcW w:w="1600" w:type="dxa"/>
            <w:noWrap/>
          </w:tcPr>
          <w:p w14:paraId="2046E463" w14:textId="77777777" w:rsidR="001E721D" w:rsidRDefault="001E721D">
            <w:pPr>
              <w:pStyle w:val="noSpacing"/>
            </w:pPr>
          </w:p>
          <w:p w14:paraId="3D1D33A6" w14:textId="77777777" w:rsidR="00FE18A9" w:rsidRPr="00FE18A9" w:rsidRDefault="00FE18A9" w:rsidP="00FE18A9"/>
          <w:p w14:paraId="28EE5A81" w14:textId="77777777" w:rsidR="00FE18A9" w:rsidRPr="00FE18A9" w:rsidRDefault="00FE18A9" w:rsidP="00FE18A9"/>
          <w:p w14:paraId="7A4C78B6" w14:textId="77777777" w:rsidR="00FE18A9" w:rsidRPr="00FE18A9" w:rsidRDefault="00FE18A9" w:rsidP="00FE18A9"/>
          <w:p w14:paraId="7539A789" w14:textId="77777777" w:rsidR="00FE18A9" w:rsidRPr="00FE18A9" w:rsidRDefault="00FE18A9" w:rsidP="00FE18A9"/>
          <w:p w14:paraId="242FE9AC" w14:textId="77777777" w:rsidR="00FE18A9" w:rsidRPr="00FE18A9" w:rsidRDefault="00FE18A9" w:rsidP="00FE18A9"/>
          <w:p w14:paraId="5336B651" w14:textId="77777777" w:rsidR="00FE18A9" w:rsidRPr="00FE18A9" w:rsidRDefault="00FE18A9" w:rsidP="00FE18A9"/>
          <w:p w14:paraId="2C67F8C0" w14:textId="77777777" w:rsidR="00FE18A9" w:rsidRPr="00FE18A9" w:rsidRDefault="00FE18A9" w:rsidP="00FE18A9"/>
          <w:p w14:paraId="497CE83E" w14:textId="77777777" w:rsidR="00FE18A9" w:rsidRPr="00FE18A9" w:rsidRDefault="00FE18A9" w:rsidP="00FE18A9"/>
          <w:p w14:paraId="3C738D7E" w14:textId="77777777" w:rsidR="00FE18A9" w:rsidRPr="00FE18A9" w:rsidRDefault="00FE18A9" w:rsidP="00FE18A9"/>
          <w:p w14:paraId="26062847" w14:textId="77777777" w:rsidR="00FE18A9" w:rsidRPr="00FE18A9" w:rsidRDefault="00FE18A9" w:rsidP="00FE18A9"/>
          <w:p w14:paraId="27F02AB5" w14:textId="77777777" w:rsidR="00FE18A9" w:rsidRPr="00FE18A9" w:rsidRDefault="00FE18A9" w:rsidP="00FE18A9"/>
          <w:p w14:paraId="0F2FC17E" w14:textId="77777777" w:rsidR="00FE18A9" w:rsidRPr="00FE18A9" w:rsidRDefault="00FE18A9" w:rsidP="00FE18A9">
            <w:pPr>
              <w:jc w:val="center"/>
            </w:pPr>
          </w:p>
        </w:tc>
      </w:tr>
      <w:tr w:rsidR="001E721D" w14:paraId="76F65742" w14:textId="77777777">
        <w:trPr>
          <w:cantSplit/>
        </w:trPr>
        <w:tc>
          <w:tcPr>
            <w:tcW w:w="800" w:type="dxa"/>
            <w:noWrap/>
          </w:tcPr>
          <w:p w14:paraId="53050EC8" w14:textId="77777777" w:rsidR="001E721D" w:rsidRDefault="00000000">
            <w:pPr>
              <w:pStyle w:val="noSpacing"/>
            </w:pPr>
            <w:r>
              <w:lastRenderedPageBreak/>
              <w:t>10:16</w:t>
            </w:r>
          </w:p>
        </w:tc>
        <w:tc>
          <w:tcPr>
            <w:tcW w:w="1600" w:type="dxa"/>
            <w:noWrap/>
          </w:tcPr>
          <w:p w14:paraId="0414FDA1" w14:textId="77777777" w:rsidR="001E721D" w:rsidRDefault="00000000">
            <w:pPr>
              <w:pStyle w:val="noSpacing"/>
            </w:pPr>
            <w:hyperlink r:id="rId10" w:history="1">
              <w:r>
                <w:rPr>
                  <w:color w:val="71BD54"/>
                  <w:u w:val="single"/>
                </w:rPr>
                <w:t>A6: URBIQ</w:t>
              </w:r>
            </w:hyperlink>
            <w:r>
              <w:br/>
            </w:r>
            <w:r>
              <w:br/>
            </w:r>
            <w:r>
              <w:rPr>
                <w:sz w:val="16"/>
                <w:szCs w:val="16"/>
              </w:rPr>
              <w:t>Contact:</w:t>
            </w:r>
            <w:r>
              <w:br/>
            </w:r>
            <w:r>
              <w:rPr>
                <w:sz w:val="16"/>
                <w:szCs w:val="16"/>
              </w:rPr>
              <w:t>Noora Lee (Republic of Korea)</w:t>
            </w:r>
          </w:p>
        </w:tc>
        <w:tc>
          <w:tcPr>
            <w:tcW w:w="6800" w:type="dxa"/>
            <w:noWrap/>
          </w:tcPr>
          <w:p w14:paraId="3452BD57" w14:textId="77777777" w:rsidR="001E721D" w:rsidRDefault="00000000">
            <w:pPr>
              <w:pStyle w:val="noSpacing"/>
            </w:pPr>
            <w:r>
              <w:rPr>
                <w:sz w:val="18"/>
                <w:szCs w:val="18"/>
              </w:rPr>
              <w:t>URBIQ develops a federated urban intelligence architecture for time-critical decisions across independently operated city systems. It combines semantic interoperability, knowledge graphs, agentic AI and multi-domain digital twins to understand cross-domain conditions and simulate the consequences of possible actions. The project enables explainable and auditable recommendations without centralising sensitive data or replacing existing infrastructure, helping cities and service operators improve response speed, coordination, data sovereignty and reuse across diverse urban environments.</w:t>
            </w:r>
          </w:p>
        </w:tc>
        <w:tc>
          <w:tcPr>
            <w:tcW w:w="1600" w:type="dxa"/>
            <w:noWrap/>
          </w:tcPr>
          <w:p w14:paraId="653680C1" w14:textId="77777777" w:rsidR="001E721D" w:rsidRDefault="001E721D">
            <w:pPr>
              <w:pStyle w:val="noSpacing"/>
            </w:pPr>
          </w:p>
        </w:tc>
      </w:tr>
      <w:tr w:rsidR="001E721D" w14:paraId="3224977D" w14:textId="77777777">
        <w:trPr>
          <w:cantSplit/>
        </w:trPr>
        <w:tc>
          <w:tcPr>
            <w:tcW w:w="800" w:type="dxa"/>
            <w:noWrap/>
          </w:tcPr>
          <w:p w14:paraId="637E7570" w14:textId="77777777" w:rsidR="001E721D" w:rsidRDefault="00000000">
            <w:pPr>
              <w:pStyle w:val="noSpacing"/>
            </w:pPr>
            <w:r>
              <w:t>10:20</w:t>
            </w:r>
          </w:p>
        </w:tc>
        <w:tc>
          <w:tcPr>
            <w:tcW w:w="1600" w:type="dxa"/>
            <w:noWrap/>
          </w:tcPr>
          <w:p w14:paraId="056C2A46" w14:textId="77777777" w:rsidR="001E721D" w:rsidRPr="000208EB" w:rsidRDefault="00000000">
            <w:pPr>
              <w:pStyle w:val="noSpacing"/>
              <w:rPr>
                <w:lang w:val="nl-NL"/>
              </w:rPr>
            </w:pPr>
            <w:hyperlink r:id="rId11" w:history="1">
              <w:r w:rsidRPr="000208EB">
                <w:rPr>
                  <w:color w:val="71BD54"/>
                  <w:u w:val="single"/>
                  <w:lang w:val="nl-NL"/>
                </w:rPr>
                <w:t>C10: NoFoCo</w:t>
              </w:r>
            </w:hyperlink>
            <w:r w:rsidRPr="000208EB">
              <w:rPr>
                <w:lang w:val="nl-NL"/>
              </w:rPr>
              <w:br/>
            </w:r>
            <w:r w:rsidRPr="000208EB">
              <w:rPr>
                <w:lang w:val="nl-NL"/>
              </w:rPr>
              <w:br/>
            </w:r>
            <w:r w:rsidRPr="000208EB">
              <w:rPr>
                <w:sz w:val="16"/>
                <w:szCs w:val="16"/>
                <w:lang w:val="nl-NL"/>
              </w:rPr>
              <w:t>Contact:</w:t>
            </w:r>
            <w:r w:rsidRPr="000208EB">
              <w:rPr>
                <w:lang w:val="nl-NL"/>
              </w:rPr>
              <w:br/>
            </w:r>
            <w:r w:rsidRPr="000208EB">
              <w:rPr>
                <w:sz w:val="16"/>
                <w:szCs w:val="16"/>
                <w:lang w:val="nl-NL"/>
              </w:rPr>
              <w:t>Erik de Graaf (The Netherlands)</w:t>
            </w:r>
          </w:p>
        </w:tc>
        <w:tc>
          <w:tcPr>
            <w:tcW w:w="6800" w:type="dxa"/>
            <w:noWrap/>
          </w:tcPr>
          <w:p w14:paraId="219E7814" w14:textId="77777777" w:rsidR="001E721D" w:rsidRDefault="00000000">
            <w:pPr>
              <w:pStyle w:val="noSpacing"/>
            </w:pPr>
            <w:r>
              <w:rPr>
                <w:sz w:val="18"/>
                <w:szCs w:val="18"/>
              </w:rPr>
              <w:t>Creating innovations in highly regulated domains can be challenging. This project idea focuses on the case of novel foods applications. To maintain a healthy, nutritious and environmentally sustainable food supply, novel foods can be a solution. However, their admission is a lengthy and costly process that involves a lot of complex information. We propose an AI assistant to alleviate these difficulties, backed up by a database of anonymized earlier successful applications.</w:t>
            </w:r>
          </w:p>
        </w:tc>
        <w:tc>
          <w:tcPr>
            <w:tcW w:w="1600" w:type="dxa"/>
            <w:noWrap/>
          </w:tcPr>
          <w:p w14:paraId="57715707" w14:textId="77777777" w:rsidR="001E721D" w:rsidRDefault="001E721D">
            <w:pPr>
              <w:pStyle w:val="noSpacing"/>
            </w:pPr>
          </w:p>
        </w:tc>
      </w:tr>
      <w:tr w:rsidR="001E721D" w14:paraId="589ECE21" w14:textId="77777777">
        <w:trPr>
          <w:cantSplit/>
        </w:trPr>
        <w:tc>
          <w:tcPr>
            <w:tcW w:w="800" w:type="dxa"/>
            <w:noWrap/>
          </w:tcPr>
          <w:p w14:paraId="40D4581F" w14:textId="77777777" w:rsidR="001E721D" w:rsidRDefault="00000000">
            <w:pPr>
              <w:pStyle w:val="noSpacing"/>
            </w:pPr>
            <w:r>
              <w:t>10:24</w:t>
            </w:r>
          </w:p>
        </w:tc>
        <w:tc>
          <w:tcPr>
            <w:tcW w:w="1600" w:type="dxa"/>
            <w:noWrap/>
          </w:tcPr>
          <w:p w14:paraId="2D458291" w14:textId="77777777" w:rsidR="001E721D" w:rsidRDefault="00000000">
            <w:pPr>
              <w:pStyle w:val="noSpacing"/>
            </w:pPr>
            <w:hyperlink r:id="rId12" w:history="1">
              <w:r>
                <w:rPr>
                  <w:color w:val="71BD54"/>
                  <w:u w:val="single"/>
                </w:rPr>
                <w:t>C11: MEDFLOW-AI</w:t>
              </w:r>
            </w:hyperlink>
            <w:r>
              <w:br/>
            </w:r>
            <w:r>
              <w:br/>
            </w:r>
            <w:r>
              <w:rPr>
                <w:sz w:val="16"/>
                <w:szCs w:val="16"/>
              </w:rPr>
              <w:t>Contact:</w:t>
            </w:r>
            <w:r>
              <w:br/>
            </w:r>
            <w:r>
              <w:rPr>
                <w:sz w:val="16"/>
                <w:szCs w:val="16"/>
              </w:rPr>
              <w:t>Ahmet Utku Yargicoglu (Türkiye)</w:t>
            </w:r>
          </w:p>
        </w:tc>
        <w:tc>
          <w:tcPr>
            <w:tcW w:w="6800" w:type="dxa"/>
            <w:noWrap/>
          </w:tcPr>
          <w:p w14:paraId="5EAEBE54" w14:textId="77777777" w:rsidR="001E721D" w:rsidRDefault="00000000">
            <w:pPr>
              <w:pStyle w:val="noSpacing"/>
            </w:pPr>
            <w:r>
              <w:rPr>
                <w:sz w:val="18"/>
                <w:szCs w:val="18"/>
              </w:rPr>
              <w:t>MEDFLOW-CARE aims to develop an AI-enabled multimodal healthcare platform that transforms heterogeneous data from medical devices, medical imaging, patient monitoring systems, and laboratory systems into actionable clinical decision support. Building on an established healthcare information infrastructure, the project will investigate patient-level data fusion, real-time anomaly and early disease-deterioration detection, and explainable AI. Initial use cases will focus on cardiovascular and respiratory monitoring, with potential extension to remote patient monitoring and Hospital at Home. We seek partners in AI, clinical validation, healthcare interoperability, distributed computing, and cybersecurity.</w:t>
            </w:r>
          </w:p>
        </w:tc>
        <w:tc>
          <w:tcPr>
            <w:tcW w:w="1600" w:type="dxa"/>
            <w:noWrap/>
          </w:tcPr>
          <w:p w14:paraId="70C88B8F" w14:textId="77777777" w:rsidR="001E721D" w:rsidRDefault="001E721D">
            <w:pPr>
              <w:pStyle w:val="noSpacing"/>
            </w:pPr>
          </w:p>
        </w:tc>
      </w:tr>
      <w:tr w:rsidR="001E721D" w14:paraId="2768CA37" w14:textId="77777777">
        <w:trPr>
          <w:cantSplit/>
        </w:trPr>
        <w:tc>
          <w:tcPr>
            <w:tcW w:w="800" w:type="dxa"/>
            <w:noWrap/>
          </w:tcPr>
          <w:p w14:paraId="5F56B874" w14:textId="77777777" w:rsidR="001E721D" w:rsidRDefault="00000000">
            <w:pPr>
              <w:pStyle w:val="noSpacing"/>
            </w:pPr>
            <w:r>
              <w:t>10:28</w:t>
            </w:r>
          </w:p>
        </w:tc>
        <w:tc>
          <w:tcPr>
            <w:tcW w:w="1600" w:type="dxa"/>
            <w:noWrap/>
          </w:tcPr>
          <w:p w14:paraId="1CEF2CA2" w14:textId="77777777" w:rsidR="001E721D" w:rsidRDefault="00000000">
            <w:pPr>
              <w:pStyle w:val="noSpacing"/>
            </w:pPr>
            <w:hyperlink r:id="rId13" w:history="1">
              <w:r>
                <w:rPr>
                  <w:color w:val="71BD54"/>
                  <w:u w:val="single"/>
                </w:rPr>
                <w:t>C13: HARMONI</w:t>
              </w:r>
            </w:hyperlink>
            <w:r>
              <w:br/>
            </w:r>
            <w:r>
              <w:br/>
            </w:r>
            <w:r>
              <w:rPr>
                <w:sz w:val="16"/>
                <w:szCs w:val="16"/>
              </w:rPr>
              <w:t>Contact:</w:t>
            </w:r>
            <w:r>
              <w:br/>
            </w:r>
            <w:r>
              <w:rPr>
                <w:sz w:val="16"/>
                <w:szCs w:val="16"/>
              </w:rPr>
              <w:t>Alexander Ernst (Germany)</w:t>
            </w:r>
          </w:p>
        </w:tc>
        <w:tc>
          <w:tcPr>
            <w:tcW w:w="6800" w:type="dxa"/>
            <w:noWrap/>
          </w:tcPr>
          <w:p w14:paraId="1E900B4F" w14:textId="77777777" w:rsidR="001E721D" w:rsidRDefault="00000000">
            <w:pPr>
              <w:pStyle w:val="noSpacing"/>
            </w:pPr>
            <w:r>
              <w:rPr>
                <w:sz w:val="18"/>
                <w:szCs w:val="18"/>
              </w:rPr>
              <w:t>In hospitals, medical personnel still performs much of the last-mile logistics themselves by delivering medical supplies from central ward storages to hospital beds. This creates substantial workload for highly trained medical personnel. The key challenge for automisation is that hospitals are highly dynamic environments: during the day, corridors, intersections and elevators are shared by staff, patients, visitors and patient beds, creating congestion, interference and highly uncertain travel times. Replenishing small decentralized storage containers at patient rooms during the day using robots enables more flexible and demand-driven supply, but makes autonomous transport considerably more difficult. Replenishment at night is operationally easier, but requires demand to be anticipated earlier and more material to be stocked in advance.HARMONI addresses this trade-off by developing an integrated intelligent replenishment system that connects demand and inventory forecasting with a shared real-time representation of the hospital, autonomous mobile robots, task allocation, scheduling and navigation. Instead of optimizing inventory and robot operations separately, the system determines what should be replenished, when it should be replenished, and how the available robot fleet can execute these tasks under changing hospital conditions. Before replenishment times become high, the system replenishes enough stock for the day. The goal is to reduce logistics workload for healthcare personnel while maintaining reliable supply and enabling safe, efficient automation in real hospital environments.</w:t>
            </w:r>
          </w:p>
        </w:tc>
        <w:tc>
          <w:tcPr>
            <w:tcW w:w="1600" w:type="dxa"/>
            <w:noWrap/>
          </w:tcPr>
          <w:p w14:paraId="170EA1FB" w14:textId="77777777" w:rsidR="001E721D" w:rsidRDefault="001E721D">
            <w:pPr>
              <w:pStyle w:val="noSpacing"/>
            </w:pPr>
          </w:p>
        </w:tc>
      </w:tr>
      <w:tr w:rsidR="001E721D" w14:paraId="6E2EDAA7" w14:textId="77777777">
        <w:trPr>
          <w:cantSplit/>
        </w:trPr>
        <w:tc>
          <w:tcPr>
            <w:tcW w:w="800" w:type="dxa"/>
            <w:noWrap/>
          </w:tcPr>
          <w:p w14:paraId="7A226403" w14:textId="77777777" w:rsidR="001E721D" w:rsidRDefault="00000000">
            <w:pPr>
              <w:pStyle w:val="noSpacing"/>
            </w:pPr>
            <w:r>
              <w:t>10:32</w:t>
            </w:r>
          </w:p>
        </w:tc>
        <w:tc>
          <w:tcPr>
            <w:tcW w:w="1600" w:type="dxa"/>
            <w:noWrap/>
          </w:tcPr>
          <w:p w14:paraId="1463C499" w14:textId="77777777" w:rsidR="001E721D" w:rsidRDefault="00000000">
            <w:pPr>
              <w:pStyle w:val="noSpacing"/>
            </w:pPr>
            <w:hyperlink r:id="rId14" w:history="1">
              <w:r>
                <w:rPr>
                  <w:color w:val="71BD54"/>
                  <w:u w:val="single"/>
                </w:rPr>
                <w:t>C14: ATLAS-S</w:t>
              </w:r>
            </w:hyperlink>
            <w:r>
              <w:br/>
            </w:r>
            <w:r>
              <w:br/>
            </w:r>
            <w:r>
              <w:rPr>
                <w:sz w:val="16"/>
                <w:szCs w:val="16"/>
              </w:rPr>
              <w:t>Contact:</w:t>
            </w:r>
            <w:r>
              <w:br/>
            </w:r>
            <w:r>
              <w:rPr>
                <w:sz w:val="16"/>
                <w:szCs w:val="16"/>
              </w:rPr>
              <w:t>isabelle de Zegher (Belgium)</w:t>
            </w:r>
          </w:p>
        </w:tc>
        <w:tc>
          <w:tcPr>
            <w:tcW w:w="6800" w:type="dxa"/>
            <w:noWrap/>
          </w:tcPr>
          <w:p w14:paraId="5279DEA6" w14:textId="77777777" w:rsidR="001E721D" w:rsidRDefault="00000000">
            <w:pPr>
              <w:pStyle w:val="noSpacing"/>
            </w:pPr>
            <w:r>
              <w:rPr>
                <w:sz w:val="18"/>
                <w:szCs w:val="18"/>
              </w:rPr>
              <w:t>AI agents are rapidly moving into real-world applications, but deployment in high-stakes sectors such as healthcare requires reliable data, knowledge, trust and regulatory compliance. ATLAS-S proposes a reusable European platform for building trustworthy, deployable multi-agent AI applications. It combines  Trustable and Explainable by Design (TED) for workflow orchestration and oversight;  MACoW for dynamic contextual memory;  Data &amp; Knowledge Grounding through FAIR data curation and knowledge extraction; and  shared regulatory and assurance infrastructure to support certification and market deployment.</w:t>
            </w:r>
          </w:p>
        </w:tc>
        <w:tc>
          <w:tcPr>
            <w:tcW w:w="1600" w:type="dxa"/>
            <w:noWrap/>
          </w:tcPr>
          <w:p w14:paraId="285F6192" w14:textId="77777777" w:rsidR="001E721D" w:rsidRDefault="001E721D">
            <w:pPr>
              <w:pStyle w:val="noSpacing"/>
            </w:pPr>
          </w:p>
        </w:tc>
      </w:tr>
      <w:tr w:rsidR="001E721D" w14:paraId="2D04BECC" w14:textId="77777777">
        <w:trPr>
          <w:cantSplit/>
        </w:trPr>
        <w:tc>
          <w:tcPr>
            <w:tcW w:w="800" w:type="dxa"/>
            <w:noWrap/>
          </w:tcPr>
          <w:p w14:paraId="168736DA" w14:textId="77777777" w:rsidR="001E721D" w:rsidRDefault="00000000">
            <w:pPr>
              <w:pStyle w:val="noSpacing"/>
            </w:pPr>
            <w:r>
              <w:lastRenderedPageBreak/>
              <w:t>10:36</w:t>
            </w:r>
          </w:p>
        </w:tc>
        <w:tc>
          <w:tcPr>
            <w:tcW w:w="1600" w:type="dxa"/>
            <w:noWrap/>
          </w:tcPr>
          <w:p w14:paraId="5C4FF82D" w14:textId="77777777" w:rsidR="001E721D" w:rsidRDefault="00000000">
            <w:pPr>
              <w:pStyle w:val="noSpacing"/>
            </w:pPr>
            <w:hyperlink r:id="rId15" w:history="1">
              <w:r>
                <w:rPr>
                  <w:color w:val="71BD54"/>
                  <w:u w:val="single"/>
                </w:rPr>
                <w:t>C15: CoPILOT</w:t>
              </w:r>
            </w:hyperlink>
            <w:r>
              <w:br/>
            </w:r>
            <w:r>
              <w:br/>
            </w:r>
            <w:r>
              <w:rPr>
                <w:sz w:val="16"/>
                <w:szCs w:val="16"/>
              </w:rPr>
              <w:t>Contact:</w:t>
            </w:r>
            <w:r>
              <w:br/>
            </w:r>
            <w:r>
              <w:rPr>
                <w:sz w:val="16"/>
                <w:szCs w:val="16"/>
              </w:rPr>
              <w:t>Heeseon Hwang (Republic of Korea)</w:t>
            </w:r>
          </w:p>
        </w:tc>
        <w:tc>
          <w:tcPr>
            <w:tcW w:w="6800" w:type="dxa"/>
            <w:noWrap/>
          </w:tcPr>
          <w:p w14:paraId="02F0ABEB" w14:textId="77777777" w:rsidR="001E721D" w:rsidRDefault="00000000">
            <w:pPr>
              <w:pStyle w:val="noSpacing"/>
            </w:pPr>
            <w:r>
              <w:rPr>
                <w:sz w:val="18"/>
                <w:szCs w:val="18"/>
              </w:rPr>
              <w:t>Minimally invasive surgery is increasingly supported by robotic and AI technologies, but surgical complexity limits robotic autonomy. HMG is developing a compact, intuitive laparoscopic surgical-assistance robot that operates under surgeon supervision. This project aims to develop a personalized cognitive AI platform that adapts to different surgical procedures and individual surgeons using minimal surgeon-specific data. Integrated with HMG’s robotic system, the platform will enable safer, more efficient, and user-centered surgical assistance while addressing the growing shortage of surgical personnel.</w:t>
            </w:r>
          </w:p>
        </w:tc>
        <w:tc>
          <w:tcPr>
            <w:tcW w:w="1600" w:type="dxa"/>
            <w:noWrap/>
          </w:tcPr>
          <w:p w14:paraId="66001A7B" w14:textId="77777777" w:rsidR="001E721D" w:rsidRDefault="001E721D">
            <w:pPr>
              <w:pStyle w:val="noSpacing"/>
            </w:pPr>
          </w:p>
        </w:tc>
      </w:tr>
      <w:tr w:rsidR="001E721D" w14:paraId="62723702" w14:textId="77777777">
        <w:trPr>
          <w:cantSplit/>
        </w:trPr>
        <w:tc>
          <w:tcPr>
            <w:tcW w:w="800" w:type="dxa"/>
            <w:noWrap/>
          </w:tcPr>
          <w:p w14:paraId="2A1867FC" w14:textId="77777777" w:rsidR="001E721D" w:rsidRDefault="00000000">
            <w:pPr>
              <w:pStyle w:val="noSpacing"/>
            </w:pPr>
            <w:r>
              <w:t>10:40</w:t>
            </w:r>
          </w:p>
        </w:tc>
        <w:tc>
          <w:tcPr>
            <w:tcW w:w="1600" w:type="dxa"/>
            <w:noWrap/>
          </w:tcPr>
          <w:p w14:paraId="0559FA27" w14:textId="77777777" w:rsidR="001E721D" w:rsidRDefault="00000000">
            <w:pPr>
              <w:pStyle w:val="noSpacing"/>
            </w:pPr>
            <w:hyperlink r:id="rId16" w:history="1">
              <w:r>
                <w:rPr>
                  <w:color w:val="71BD54"/>
                  <w:u w:val="single"/>
                </w:rPr>
                <w:t>C16: PROSPER</w:t>
              </w:r>
            </w:hyperlink>
            <w:r>
              <w:br/>
            </w:r>
            <w:r>
              <w:br/>
            </w:r>
            <w:r>
              <w:rPr>
                <w:sz w:val="16"/>
                <w:szCs w:val="16"/>
              </w:rPr>
              <w:t>Contact:</w:t>
            </w:r>
            <w:r>
              <w:br/>
            </w:r>
            <w:r>
              <w:rPr>
                <w:sz w:val="16"/>
                <w:szCs w:val="16"/>
              </w:rPr>
              <w:t>Kartik Chawla (The Netherlands)</w:t>
            </w:r>
          </w:p>
        </w:tc>
        <w:tc>
          <w:tcPr>
            <w:tcW w:w="6800" w:type="dxa"/>
            <w:noWrap/>
          </w:tcPr>
          <w:p w14:paraId="67DE6835" w14:textId="77777777" w:rsidR="001E721D" w:rsidRDefault="00000000">
            <w:pPr>
              <w:pStyle w:val="noSpacing"/>
            </w:pPr>
            <w:r>
              <w:rPr>
                <w:sz w:val="18"/>
                <w:szCs w:val="18"/>
              </w:rPr>
              <w:t>PROSPER supports the safe and compliant introduction of products, from AI-powered medical devices to intermediate steel products, to the EU market by automating lifecycle compliance with relevant regulations, such as the AI Act, GDPR, NIS2, CRA, EHDS, MDR, and Data Act for medical devices or the ESPR, REACH, ETS and CBAM for Steel. It turns complex obligations into AI-assisted, human-validated, machine-readable and executable rules; connects real-time testing to live business processes, clinical, industrial and product data; and records confidentiality-preserving proofs in Digital Wallets and Digital Product Passports for market access and additional value generating use-cases such as targeted recalls.</w:t>
            </w:r>
          </w:p>
        </w:tc>
        <w:tc>
          <w:tcPr>
            <w:tcW w:w="1600" w:type="dxa"/>
            <w:noWrap/>
          </w:tcPr>
          <w:p w14:paraId="5A50A261" w14:textId="77777777" w:rsidR="001E721D" w:rsidRDefault="001E721D">
            <w:pPr>
              <w:pStyle w:val="noSpacing"/>
            </w:pPr>
          </w:p>
        </w:tc>
      </w:tr>
      <w:tr w:rsidR="001E721D" w14:paraId="1536051A" w14:textId="77777777">
        <w:trPr>
          <w:cantSplit/>
        </w:trPr>
        <w:tc>
          <w:tcPr>
            <w:tcW w:w="800" w:type="dxa"/>
            <w:noWrap/>
          </w:tcPr>
          <w:p w14:paraId="52B52469" w14:textId="77777777" w:rsidR="001E721D" w:rsidRDefault="00000000">
            <w:pPr>
              <w:pStyle w:val="noSpacing"/>
            </w:pPr>
            <w:r>
              <w:t>10:44</w:t>
            </w:r>
          </w:p>
        </w:tc>
        <w:tc>
          <w:tcPr>
            <w:tcW w:w="1600" w:type="dxa"/>
            <w:noWrap/>
          </w:tcPr>
          <w:p w14:paraId="0A42C470" w14:textId="77777777" w:rsidR="001E721D" w:rsidRDefault="00000000">
            <w:pPr>
              <w:pStyle w:val="noSpacing"/>
            </w:pPr>
            <w:hyperlink r:id="rId17" w:history="1">
              <w:r>
                <w:rPr>
                  <w:color w:val="71BD54"/>
                  <w:u w:val="single"/>
                </w:rPr>
                <w:t>C17: EHDS-JUNGLE</w:t>
              </w:r>
            </w:hyperlink>
            <w:r>
              <w:br/>
            </w:r>
            <w:r>
              <w:br/>
            </w:r>
            <w:r>
              <w:rPr>
                <w:sz w:val="16"/>
                <w:szCs w:val="16"/>
              </w:rPr>
              <w:t>Contact:</w:t>
            </w:r>
            <w:r>
              <w:br/>
            </w:r>
            <w:r>
              <w:rPr>
                <w:sz w:val="16"/>
                <w:szCs w:val="16"/>
              </w:rPr>
              <w:t>Iida Varemäki (Finland)</w:t>
            </w:r>
          </w:p>
        </w:tc>
        <w:tc>
          <w:tcPr>
            <w:tcW w:w="6800" w:type="dxa"/>
            <w:noWrap/>
          </w:tcPr>
          <w:p w14:paraId="3E76AC91" w14:textId="77777777" w:rsidR="001E721D" w:rsidRDefault="00000000">
            <w:pPr>
              <w:pStyle w:val="noSpacing"/>
            </w:pPr>
            <w:r>
              <w:rPr>
                <w:sz w:val="18"/>
                <w:szCs w:val="18"/>
              </w:rPr>
              <w:t>Healthcare faces fragmented care pathways, growing multimorbidity, workforce shortages and increasing costs. Existing digital care pathways exchange data but do not coordinate care. EHDS-JUNGLE will develop a care pathway negotiation engine and a digital care twin that enable care pathways, services and organisations to communicate, coordinate and simulate changes before implementation. The project combines EHDS-enabled interoperability, AI-driven analytics, predictive simulation, cybersecurity and trust technologies to support coordinated, proactive and efficient healthcare.EHDS-JUNGLE addresses a market worth tens of billions over the next two decades.</w:t>
            </w:r>
          </w:p>
        </w:tc>
        <w:tc>
          <w:tcPr>
            <w:tcW w:w="1600" w:type="dxa"/>
            <w:noWrap/>
          </w:tcPr>
          <w:p w14:paraId="69C71323" w14:textId="77777777" w:rsidR="001E721D" w:rsidRDefault="001E721D">
            <w:pPr>
              <w:pStyle w:val="noSpacing"/>
            </w:pPr>
          </w:p>
        </w:tc>
      </w:tr>
      <w:tr w:rsidR="001E721D" w14:paraId="56192A8B" w14:textId="77777777">
        <w:trPr>
          <w:cantSplit/>
        </w:trPr>
        <w:tc>
          <w:tcPr>
            <w:tcW w:w="800" w:type="dxa"/>
            <w:noWrap/>
          </w:tcPr>
          <w:p w14:paraId="546E72B0" w14:textId="77777777" w:rsidR="001E721D" w:rsidRDefault="00000000">
            <w:pPr>
              <w:pStyle w:val="noSpacing"/>
            </w:pPr>
            <w:r>
              <w:t>10:48</w:t>
            </w:r>
          </w:p>
        </w:tc>
        <w:tc>
          <w:tcPr>
            <w:tcW w:w="1600" w:type="dxa"/>
            <w:noWrap/>
          </w:tcPr>
          <w:p w14:paraId="2C32A547" w14:textId="77777777" w:rsidR="001E721D" w:rsidRDefault="00000000">
            <w:pPr>
              <w:pStyle w:val="noSpacing"/>
            </w:pPr>
            <w:hyperlink r:id="rId18" w:history="1">
              <w:r>
                <w:rPr>
                  <w:color w:val="71BD54"/>
                  <w:u w:val="single"/>
                </w:rPr>
                <w:t>C18: HEALOR</w:t>
              </w:r>
            </w:hyperlink>
            <w:r>
              <w:br/>
            </w:r>
            <w:r>
              <w:br/>
            </w:r>
            <w:r>
              <w:rPr>
                <w:sz w:val="16"/>
                <w:szCs w:val="16"/>
              </w:rPr>
              <w:t>Contact:</w:t>
            </w:r>
            <w:r>
              <w:br/>
            </w:r>
            <w:r>
              <w:rPr>
                <w:sz w:val="16"/>
                <w:szCs w:val="16"/>
              </w:rPr>
              <w:t>Wilco Schuttelaar (The Netherlands)</w:t>
            </w:r>
          </w:p>
        </w:tc>
        <w:tc>
          <w:tcPr>
            <w:tcW w:w="6800" w:type="dxa"/>
            <w:noWrap/>
          </w:tcPr>
          <w:p w14:paraId="2DFB5861" w14:textId="77777777" w:rsidR="001E721D" w:rsidRDefault="00000000">
            <w:pPr>
              <w:pStyle w:val="noSpacing"/>
            </w:pPr>
            <w:r>
              <w:rPr>
                <w:sz w:val="18"/>
                <w:szCs w:val="18"/>
              </w:rPr>
              <w:t>HEALOR is a **vendor-neutral, open orchestration platform** that gives medical AI the multi-hospital data it needs. Hospitals **integrate once** to reach every connected AI application; AI vendors integrate once to reach every hospital. A **network-wide data layer** pulls imaging and EHR data across hospitals into one longitudinal, AI-ready patient record - instead of a single-site snapshot. On top of that, an **agentic-AI orchestration layer** routes each case to the right AI service(s) and combines their outputs, running hybrid on-premise/cloud with **federated and continuous learning** from clinician feedback. Every step is governed by **human-in-the-loop** approval and auditable, scoped access. Initial focus: **medical imaging and radiology**, built on DICOM, FHIR and IHE standards, and designed to leverage **EHDS**-enabled data access as it becomes available.</w:t>
            </w:r>
          </w:p>
        </w:tc>
        <w:tc>
          <w:tcPr>
            <w:tcW w:w="1600" w:type="dxa"/>
            <w:noWrap/>
          </w:tcPr>
          <w:p w14:paraId="1E7A54F0" w14:textId="77777777" w:rsidR="001E721D" w:rsidRDefault="001E721D">
            <w:pPr>
              <w:pStyle w:val="noSpacing"/>
            </w:pPr>
          </w:p>
        </w:tc>
      </w:tr>
      <w:tr w:rsidR="001E721D" w14:paraId="64878067" w14:textId="77777777">
        <w:trPr>
          <w:cantSplit/>
        </w:trPr>
        <w:tc>
          <w:tcPr>
            <w:tcW w:w="800" w:type="dxa"/>
            <w:noWrap/>
          </w:tcPr>
          <w:p w14:paraId="1E81E88C" w14:textId="77777777" w:rsidR="001E721D" w:rsidRDefault="00000000">
            <w:pPr>
              <w:pStyle w:val="noSpacing"/>
            </w:pPr>
            <w:r>
              <w:t>10:52</w:t>
            </w:r>
          </w:p>
        </w:tc>
        <w:tc>
          <w:tcPr>
            <w:tcW w:w="1600" w:type="dxa"/>
            <w:noWrap/>
          </w:tcPr>
          <w:p w14:paraId="78C2F25C" w14:textId="77777777" w:rsidR="001E721D" w:rsidRDefault="00000000">
            <w:pPr>
              <w:pStyle w:val="noSpacing"/>
            </w:pPr>
            <w:hyperlink r:id="rId19" w:history="1">
              <w:r>
                <w:rPr>
                  <w:color w:val="71BD54"/>
                  <w:u w:val="single"/>
                </w:rPr>
                <w:t>C19: NEUROTRUST</w:t>
              </w:r>
            </w:hyperlink>
            <w:r>
              <w:br/>
            </w:r>
            <w:r>
              <w:br/>
            </w:r>
            <w:r>
              <w:rPr>
                <w:sz w:val="16"/>
                <w:szCs w:val="16"/>
              </w:rPr>
              <w:t>Contact:</w:t>
            </w:r>
            <w:r>
              <w:br/>
            </w:r>
            <w:r>
              <w:rPr>
                <w:sz w:val="16"/>
                <w:szCs w:val="16"/>
              </w:rPr>
              <w:t>Robertas Alzbutas (Lithuania)</w:t>
            </w:r>
          </w:p>
        </w:tc>
        <w:tc>
          <w:tcPr>
            <w:tcW w:w="6800" w:type="dxa"/>
            <w:noWrap/>
          </w:tcPr>
          <w:p w14:paraId="69D8B9C4" w14:textId="77777777" w:rsidR="001E721D" w:rsidRDefault="00000000">
            <w:pPr>
              <w:pStyle w:val="noSpacing"/>
            </w:pPr>
            <w:r>
              <w:rPr>
                <w:sz w:val="18"/>
                <w:szCs w:val="18"/>
              </w:rPr>
              <w:t>NEUROTRUST will develop an interoperable clinical decision-support platform that combines multimodal CT/CTA image analytics, explainable artificial intelligence, patient-specific neurofluid simulation and probabilistic risk assessment. Its first use case will support early prediction and monitoring of cerebral vasospasm and delayed cerebral ischaemia after subarachnoid haemorrhage. The project will advance existing research prototypes through multicentre validation, uncertainty-aware decision support and PACS/DICOM integration, creating a scalable software foundation for additional neurovascular conditions and commercial clinical deployment.</w:t>
            </w:r>
          </w:p>
        </w:tc>
        <w:tc>
          <w:tcPr>
            <w:tcW w:w="1600" w:type="dxa"/>
            <w:noWrap/>
          </w:tcPr>
          <w:p w14:paraId="3A5B8845" w14:textId="77777777" w:rsidR="001E721D" w:rsidRDefault="001E721D">
            <w:pPr>
              <w:pStyle w:val="noSpacing"/>
            </w:pPr>
          </w:p>
        </w:tc>
      </w:tr>
      <w:tr w:rsidR="001E721D" w14:paraId="5E3F6D61" w14:textId="77777777">
        <w:trPr>
          <w:cantSplit/>
        </w:trPr>
        <w:tc>
          <w:tcPr>
            <w:tcW w:w="800" w:type="dxa"/>
            <w:noWrap/>
          </w:tcPr>
          <w:p w14:paraId="3D55D83E" w14:textId="77777777" w:rsidR="001E721D" w:rsidRDefault="00000000">
            <w:pPr>
              <w:pStyle w:val="noSpacing"/>
            </w:pPr>
            <w:r>
              <w:lastRenderedPageBreak/>
              <w:t>10:56</w:t>
            </w:r>
          </w:p>
        </w:tc>
        <w:tc>
          <w:tcPr>
            <w:tcW w:w="1600" w:type="dxa"/>
            <w:noWrap/>
          </w:tcPr>
          <w:p w14:paraId="2155A0C9" w14:textId="77777777" w:rsidR="001E721D" w:rsidRDefault="00000000">
            <w:pPr>
              <w:pStyle w:val="noSpacing"/>
            </w:pPr>
            <w:hyperlink r:id="rId20" w:history="1">
              <w:r>
                <w:rPr>
                  <w:color w:val="71BD54"/>
                  <w:u w:val="single"/>
                </w:rPr>
                <w:t>C20: CARE-BRIDGE</w:t>
              </w:r>
            </w:hyperlink>
            <w:r>
              <w:br/>
            </w:r>
            <w:r>
              <w:br/>
            </w:r>
            <w:r>
              <w:rPr>
                <w:sz w:val="16"/>
                <w:szCs w:val="16"/>
              </w:rPr>
              <w:t>Contact:</w:t>
            </w:r>
            <w:r>
              <w:br/>
            </w:r>
            <w:r>
              <w:rPr>
                <w:sz w:val="16"/>
                <w:szCs w:val="16"/>
              </w:rPr>
              <w:t>Can Eroğlu (Türkiye)</w:t>
            </w:r>
          </w:p>
        </w:tc>
        <w:tc>
          <w:tcPr>
            <w:tcW w:w="6800" w:type="dxa"/>
            <w:noWrap/>
          </w:tcPr>
          <w:p w14:paraId="6D0605D3" w14:textId="77777777" w:rsidR="001E721D" w:rsidRDefault="00000000">
            <w:pPr>
              <w:pStyle w:val="noSpacing"/>
            </w:pPr>
            <w:r>
              <w:rPr>
                <w:sz w:val="18"/>
                <w:szCs w:val="18"/>
              </w:rPr>
              <w:t>The transition of patients from the hospital to home care creates a critical clinical "data blind spot." Post-discharge deteriorations specially in high-risk cohorts like post-operative cardiac, COPD, or severe heart failure patient are often detected too late, resulting in costly, life-threatening hospital readmissions.CARE-BRIDGE develops a vendor-neutral, EHDS (European Health Data Space)-compliant middleware platform that seamlessly bridges CE-marked home medical wearables directly with enterprise Hospital Information Systems (HIS). By applying advanced AI-driven multivariate anomaly detection to continuous home telemetry, and Natural Language Processing (NLP) to hospital discharge summaries, the platform transforms remote patient monitoring. It shifts the paradigm from reactive, static-threshold alarms to proactive, predictive care, effectively extending the hospital's clinical safety net directly into the patient’s home without increasing the administrative burden on clinical staff.</w:t>
            </w:r>
          </w:p>
        </w:tc>
        <w:tc>
          <w:tcPr>
            <w:tcW w:w="1600" w:type="dxa"/>
            <w:noWrap/>
          </w:tcPr>
          <w:p w14:paraId="1B1A6272" w14:textId="77777777" w:rsidR="001E721D" w:rsidRDefault="001E721D">
            <w:pPr>
              <w:pStyle w:val="noSpacing"/>
            </w:pPr>
          </w:p>
        </w:tc>
      </w:tr>
      <w:tr w:rsidR="001E721D" w14:paraId="5D8E88FC" w14:textId="77777777">
        <w:trPr>
          <w:cantSplit/>
        </w:trPr>
        <w:tc>
          <w:tcPr>
            <w:tcW w:w="800" w:type="dxa"/>
            <w:noWrap/>
          </w:tcPr>
          <w:p w14:paraId="42540465" w14:textId="77777777" w:rsidR="001E721D" w:rsidRDefault="00000000">
            <w:pPr>
              <w:pStyle w:val="noSpacing"/>
            </w:pPr>
            <w:r>
              <w:t>11:00</w:t>
            </w:r>
          </w:p>
        </w:tc>
        <w:tc>
          <w:tcPr>
            <w:tcW w:w="1600" w:type="dxa"/>
            <w:noWrap/>
          </w:tcPr>
          <w:p w14:paraId="2C396E95" w14:textId="77777777" w:rsidR="001E721D" w:rsidRDefault="00000000">
            <w:pPr>
              <w:pStyle w:val="noSpacing"/>
            </w:pPr>
            <w:hyperlink r:id="rId21" w:history="1">
              <w:r>
                <w:rPr>
                  <w:color w:val="71BD54"/>
                  <w:u w:val="single"/>
                </w:rPr>
                <w:t>E2: CO-GUARD</w:t>
              </w:r>
            </w:hyperlink>
            <w:r>
              <w:br/>
            </w:r>
            <w:r>
              <w:br/>
            </w:r>
            <w:r>
              <w:rPr>
                <w:sz w:val="16"/>
                <w:szCs w:val="16"/>
              </w:rPr>
              <w:t>Contact:</w:t>
            </w:r>
            <w:r>
              <w:br/>
            </w:r>
            <w:r>
              <w:rPr>
                <w:sz w:val="16"/>
                <w:szCs w:val="16"/>
              </w:rPr>
              <w:t>Dilara Bayar Başlık (Türkiye)</w:t>
            </w:r>
          </w:p>
        </w:tc>
        <w:tc>
          <w:tcPr>
            <w:tcW w:w="6800" w:type="dxa"/>
            <w:noWrap/>
          </w:tcPr>
          <w:p w14:paraId="32542671" w14:textId="77777777" w:rsidR="001E721D" w:rsidRDefault="00000000">
            <w:pPr>
              <w:pStyle w:val="noSpacing"/>
            </w:pPr>
            <w:r>
              <w:rPr>
                <w:sz w:val="18"/>
                <w:szCs w:val="18"/>
              </w:rPr>
              <w:t>On the factory floor, the most severe incidents happen at critical points such as shared human and robot workspaces, heavy load handling and high energy equipment, where operators and the control room lack real time situational awareness of rising risk. Unsafe conditions go unnoticed, near miss events are never learned from, and experienced operators' expertise is never captured. CO-GUARD is a collaborative platform that keeps people in control and raises situational awareness at these critical points. It fuses data from multiple sources, detects unsafe situations, and delivers explainable early risk warnings to the operator and the control room before incidents occur, while capturing and preserving operators' expertise. Synthetic hazard scenarios are used to overcome the scarcity of real accident data.</w:t>
            </w:r>
          </w:p>
        </w:tc>
        <w:tc>
          <w:tcPr>
            <w:tcW w:w="1600" w:type="dxa"/>
            <w:noWrap/>
          </w:tcPr>
          <w:p w14:paraId="61538E7F" w14:textId="77777777" w:rsidR="001E721D" w:rsidRDefault="001E721D">
            <w:pPr>
              <w:pStyle w:val="noSpacing"/>
            </w:pPr>
          </w:p>
        </w:tc>
      </w:tr>
      <w:tr w:rsidR="001E721D" w14:paraId="52F5F336" w14:textId="77777777">
        <w:trPr>
          <w:cantSplit/>
        </w:trPr>
        <w:tc>
          <w:tcPr>
            <w:tcW w:w="800" w:type="dxa"/>
            <w:noWrap/>
          </w:tcPr>
          <w:p w14:paraId="402A0623" w14:textId="77777777" w:rsidR="001E721D" w:rsidRDefault="00000000">
            <w:pPr>
              <w:pStyle w:val="noSpacing"/>
            </w:pPr>
            <w:r>
              <w:t>11:04</w:t>
            </w:r>
          </w:p>
        </w:tc>
        <w:tc>
          <w:tcPr>
            <w:tcW w:w="1600" w:type="dxa"/>
            <w:noWrap/>
          </w:tcPr>
          <w:p w14:paraId="273A3758" w14:textId="77777777" w:rsidR="001E721D" w:rsidRDefault="00000000">
            <w:pPr>
              <w:pStyle w:val="noSpacing"/>
            </w:pPr>
            <w:hyperlink r:id="rId22" w:history="1">
              <w:r>
                <w:rPr>
                  <w:color w:val="71BD54"/>
                  <w:u w:val="single"/>
                </w:rPr>
                <w:t>E3: SPINE</w:t>
              </w:r>
            </w:hyperlink>
            <w:r>
              <w:br/>
            </w:r>
            <w:r>
              <w:br/>
            </w:r>
            <w:r>
              <w:rPr>
                <w:sz w:val="16"/>
                <w:szCs w:val="16"/>
              </w:rPr>
              <w:t>Contact:</w:t>
            </w:r>
            <w:r>
              <w:br/>
            </w:r>
            <w:r>
              <w:rPr>
                <w:sz w:val="16"/>
                <w:szCs w:val="16"/>
              </w:rPr>
              <w:t>Christian Eckart (Germany)</w:t>
            </w:r>
          </w:p>
        </w:tc>
        <w:tc>
          <w:tcPr>
            <w:tcW w:w="6800" w:type="dxa"/>
            <w:noWrap/>
          </w:tcPr>
          <w:p w14:paraId="7F6A0182" w14:textId="77777777" w:rsidR="001E721D" w:rsidRDefault="00000000">
            <w:pPr>
              <w:pStyle w:val="noSpacing"/>
            </w:pPr>
            <w:r>
              <w:rPr>
                <w:sz w:val="18"/>
                <w:szCs w:val="18"/>
              </w:rPr>
              <w:t>Product and production development are becoming more complex and costly due to constant internal and external changes, while isolated adjustments and growing communication effort increase the risk of errors.The goal of the project is therefore to develop an event-based production planning method in which events and their consequences are recorded in a PLM-system. Stakeholders and expert systems affected by changes are notified of those changes via a central platform and feed back adjustments to the planning statuses.</w:t>
            </w:r>
          </w:p>
        </w:tc>
        <w:tc>
          <w:tcPr>
            <w:tcW w:w="1600" w:type="dxa"/>
            <w:noWrap/>
          </w:tcPr>
          <w:p w14:paraId="20C8D090" w14:textId="77777777" w:rsidR="001E721D" w:rsidRDefault="001E721D">
            <w:pPr>
              <w:pStyle w:val="noSpacing"/>
            </w:pPr>
          </w:p>
        </w:tc>
      </w:tr>
      <w:tr w:rsidR="001E721D" w14:paraId="2CECBAC5" w14:textId="77777777">
        <w:trPr>
          <w:cantSplit/>
        </w:trPr>
        <w:tc>
          <w:tcPr>
            <w:tcW w:w="800" w:type="dxa"/>
            <w:noWrap/>
          </w:tcPr>
          <w:p w14:paraId="408042B9" w14:textId="77777777" w:rsidR="001E721D" w:rsidRDefault="00000000">
            <w:pPr>
              <w:pStyle w:val="noSpacing"/>
            </w:pPr>
            <w:r>
              <w:t>11:08</w:t>
            </w:r>
          </w:p>
        </w:tc>
        <w:tc>
          <w:tcPr>
            <w:tcW w:w="1600" w:type="dxa"/>
            <w:noWrap/>
          </w:tcPr>
          <w:p w14:paraId="138C8076" w14:textId="77777777" w:rsidR="001E721D" w:rsidRDefault="00000000">
            <w:pPr>
              <w:pStyle w:val="noSpacing"/>
            </w:pPr>
            <w:hyperlink r:id="rId23" w:history="1">
              <w:r>
                <w:rPr>
                  <w:color w:val="71BD54"/>
                  <w:u w:val="single"/>
                </w:rPr>
                <w:t>E4: PROPIED</w:t>
              </w:r>
            </w:hyperlink>
            <w:r>
              <w:br/>
            </w:r>
            <w:r>
              <w:br/>
            </w:r>
            <w:r>
              <w:rPr>
                <w:sz w:val="16"/>
                <w:szCs w:val="16"/>
              </w:rPr>
              <w:t>Contact:</w:t>
            </w:r>
            <w:r>
              <w:br/>
            </w:r>
            <w:r>
              <w:rPr>
                <w:sz w:val="16"/>
                <w:szCs w:val="16"/>
              </w:rPr>
              <w:t>Rodney Kadadi (Türkiye)</w:t>
            </w:r>
          </w:p>
        </w:tc>
        <w:tc>
          <w:tcPr>
            <w:tcW w:w="6800" w:type="dxa"/>
            <w:noWrap/>
          </w:tcPr>
          <w:p w14:paraId="1028ECC3" w14:textId="77777777" w:rsidR="001E721D" w:rsidRDefault="00000000">
            <w:pPr>
              <w:pStyle w:val="noSpacing"/>
            </w:pPr>
            <w:r>
              <w:rPr>
                <w:sz w:val="18"/>
                <w:szCs w:val="18"/>
              </w:rPr>
              <w:t>As IoT ecosystems expand, embedding complex service logic directly on resource-constrained devices leads to frequent firmware updates, high maintenance costs, security vulnerabilities, and poor scalability as services evolve. PROPIED removes business logic from the device entirely, relying instead on a stable terminal/server interaction contract, so devices stay simple and durable while service innovation, updates, and orchestration happen centrally on the server.</w:t>
            </w:r>
          </w:p>
        </w:tc>
        <w:tc>
          <w:tcPr>
            <w:tcW w:w="1600" w:type="dxa"/>
            <w:noWrap/>
          </w:tcPr>
          <w:p w14:paraId="0D0FA9AB" w14:textId="77777777" w:rsidR="001E721D" w:rsidRDefault="001E721D">
            <w:pPr>
              <w:pStyle w:val="noSpacing"/>
            </w:pPr>
          </w:p>
        </w:tc>
      </w:tr>
      <w:tr w:rsidR="001E721D" w14:paraId="50A6CAEF" w14:textId="77777777">
        <w:trPr>
          <w:cantSplit/>
        </w:trPr>
        <w:tc>
          <w:tcPr>
            <w:tcW w:w="800" w:type="dxa"/>
            <w:noWrap/>
          </w:tcPr>
          <w:p w14:paraId="10C5F382" w14:textId="77777777" w:rsidR="001E721D" w:rsidRDefault="00000000">
            <w:pPr>
              <w:pStyle w:val="noSpacing"/>
            </w:pPr>
            <w:r>
              <w:t>11:12</w:t>
            </w:r>
          </w:p>
        </w:tc>
        <w:tc>
          <w:tcPr>
            <w:tcW w:w="1600" w:type="dxa"/>
            <w:noWrap/>
          </w:tcPr>
          <w:p w14:paraId="151B70D6" w14:textId="77777777" w:rsidR="001E721D" w:rsidRDefault="00000000">
            <w:pPr>
              <w:pStyle w:val="noSpacing"/>
            </w:pPr>
            <w:hyperlink r:id="rId24" w:history="1">
              <w:r>
                <w:rPr>
                  <w:color w:val="71BD54"/>
                  <w:u w:val="single"/>
                </w:rPr>
                <w:t>E6: K-GRAPH</w:t>
              </w:r>
            </w:hyperlink>
            <w:r>
              <w:br/>
            </w:r>
            <w:r>
              <w:br/>
            </w:r>
            <w:r>
              <w:rPr>
                <w:sz w:val="16"/>
                <w:szCs w:val="16"/>
              </w:rPr>
              <w:t>Contact:</w:t>
            </w:r>
            <w:r>
              <w:br/>
            </w:r>
            <w:r>
              <w:rPr>
                <w:sz w:val="16"/>
                <w:szCs w:val="16"/>
              </w:rPr>
              <w:t>Merve Gözde Sayın Memiş (Türkiye)</w:t>
            </w:r>
          </w:p>
        </w:tc>
        <w:tc>
          <w:tcPr>
            <w:tcW w:w="6800" w:type="dxa"/>
            <w:noWrap/>
          </w:tcPr>
          <w:p w14:paraId="58C47478" w14:textId="77777777" w:rsidR="001E721D" w:rsidRDefault="00000000">
            <w:pPr>
              <w:pStyle w:val="noSpacing"/>
            </w:pPr>
            <w:r>
              <w:rPr>
                <w:sz w:val="18"/>
                <w:szCs w:val="18"/>
              </w:rPr>
              <w:t>Unstructured Data Orchestration and Semantic Reasoning Platform is an AI-powered enterprise intelligence platform that enables organizations to answer complex business questions across fragmented data ecosystems. Current business intelligence solutions are designed to answer predefined questions through static dashboards. However, modern organisations increasingly need answers to complex and previously unknown questions that require combining information from many independent sources. By combining Data Fabric, Knowledge Graphs, Agentic AI, Large Language Models, Retrieval-Augmented Generation (RAG), semantic reasoning and Text-to-SQL technologies, K-GRAPH understands business intent, autonomously orchestrates multiple data sources, and delivers trusted, explainable insights in real time. The platform moves enterprises beyond static reporting towards dynamic, enterprise-wide intelligence capable of supporting strategic and operational decision-making.  </w:t>
            </w:r>
          </w:p>
        </w:tc>
        <w:tc>
          <w:tcPr>
            <w:tcW w:w="1600" w:type="dxa"/>
            <w:noWrap/>
          </w:tcPr>
          <w:p w14:paraId="03B4F850" w14:textId="77777777" w:rsidR="001E721D" w:rsidRDefault="001E721D">
            <w:pPr>
              <w:pStyle w:val="noSpacing"/>
            </w:pPr>
          </w:p>
        </w:tc>
      </w:tr>
      <w:tr w:rsidR="001E721D" w14:paraId="679D51C4" w14:textId="77777777">
        <w:trPr>
          <w:cantSplit/>
        </w:trPr>
        <w:tc>
          <w:tcPr>
            <w:tcW w:w="800" w:type="dxa"/>
            <w:noWrap/>
          </w:tcPr>
          <w:p w14:paraId="29C423AB" w14:textId="77777777" w:rsidR="001E721D" w:rsidRDefault="00000000">
            <w:pPr>
              <w:pStyle w:val="noSpacing"/>
            </w:pPr>
            <w:r>
              <w:lastRenderedPageBreak/>
              <w:t>11:16</w:t>
            </w:r>
          </w:p>
        </w:tc>
        <w:tc>
          <w:tcPr>
            <w:tcW w:w="1600" w:type="dxa"/>
            <w:noWrap/>
          </w:tcPr>
          <w:p w14:paraId="64991FBA" w14:textId="77777777" w:rsidR="001E721D" w:rsidRDefault="00000000">
            <w:pPr>
              <w:pStyle w:val="noSpacing"/>
            </w:pPr>
            <w:hyperlink r:id="rId25" w:history="1">
              <w:r>
                <w:rPr>
                  <w:color w:val="71BD54"/>
                  <w:u w:val="single"/>
                </w:rPr>
                <w:t>E7: AIM-Plan</w:t>
              </w:r>
            </w:hyperlink>
            <w:r>
              <w:br/>
            </w:r>
            <w:r>
              <w:br/>
            </w:r>
            <w:r>
              <w:rPr>
                <w:sz w:val="16"/>
                <w:szCs w:val="16"/>
              </w:rPr>
              <w:t>Contact:</w:t>
            </w:r>
            <w:r>
              <w:br/>
            </w:r>
            <w:r>
              <w:rPr>
                <w:sz w:val="16"/>
                <w:szCs w:val="16"/>
              </w:rPr>
              <w:t>Haluk Gökmen (Türkiye)</w:t>
            </w:r>
          </w:p>
        </w:tc>
        <w:tc>
          <w:tcPr>
            <w:tcW w:w="6800" w:type="dxa"/>
            <w:noWrap/>
          </w:tcPr>
          <w:p w14:paraId="6162FCC8" w14:textId="77777777" w:rsidR="001E721D" w:rsidRDefault="00000000">
            <w:pPr>
              <w:pStyle w:val="noSpacing"/>
            </w:pPr>
            <w:r>
              <w:rPr>
                <w:sz w:val="18"/>
                <w:szCs w:val="18"/>
              </w:rPr>
              <w:t>Manufacturing companies increasingly face the challenge of rapidly translating engineering designs into accurate production plans. In industries such as automotive wiring harness manufacturing, engineers manually interpret technical drawings, Bills of Materials (BOMs), and engineering documentation to identify manufacturing operations, calculate standard production times (MTM), and estimate workforce, workstation, and equipment requirements. This process is labour-intensive, error-prone, and difficult to repeat whenever engineering revisions occur.The AIM-Plan project aims to develop an AI-powered Engineering Intelligence Platform that automatically transforms engineering documentation into structured manufacturing knowledge. By combining Computer Vision, multimodal Large Language Models (LLMs), document understanding, and manufacturing knowledge models, the platform will identify production operations, generate MTM-based manufacturing times, estimate production capacity, and create digital manufacturing planning data with minimal human intervention.The solution will significantly accelerate engineering change assessment, quotation preparation, and production planning while improving accuracy and enabling seamless integration with digital manufacturing ecosystems, including PLM, ERP, MES, APS, and Digital Twin platforms. Although the first industrial validation will focus on automotive wiring harness manufacturing, the proposed methodology will be designed as a generic AI framework applicable across multiple manufacturing sectors.</w:t>
            </w:r>
          </w:p>
        </w:tc>
        <w:tc>
          <w:tcPr>
            <w:tcW w:w="1600" w:type="dxa"/>
            <w:noWrap/>
          </w:tcPr>
          <w:p w14:paraId="2D88792C" w14:textId="77777777" w:rsidR="001E721D" w:rsidRDefault="001E721D">
            <w:pPr>
              <w:pStyle w:val="noSpacing"/>
            </w:pPr>
          </w:p>
        </w:tc>
      </w:tr>
      <w:tr w:rsidR="001E721D" w14:paraId="5FC1A9A2" w14:textId="77777777">
        <w:trPr>
          <w:cantSplit/>
        </w:trPr>
        <w:tc>
          <w:tcPr>
            <w:tcW w:w="800" w:type="dxa"/>
            <w:noWrap/>
          </w:tcPr>
          <w:p w14:paraId="1956C2AB" w14:textId="77777777" w:rsidR="001E721D" w:rsidRDefault="00000000">
            <w:pPr>
              <w:pStyle w:val="noSpacing"/>
            </w:pPr>
            <w:r>
              <w:t>11:20</w:t>
            </w:r>
          </w:p>
        </w:tc>
        <w:tc>
          <w:tcPr>
            <w:tcW w:w="1600" w:type="dxa"/>
            <w:noWrap/>
          </w:tcPr>
          <w:p w14:paraId="3076D444" w14:textId="77777777" w:rsidR="001E721D" w:rsidRDefault="00000000">
            <w:pPr>
              <w:pStyle w:val="noSpacing"/>
            </w:pPr>
            <w:hyperlink r:id="rId26" w:history="1">
              <w:r>
                <w:rPr>
                  <w:color w:val="71BD54"/>
                  <w:u w:val="single"/>
                </w:rPr>
                <w:t>E9: SAMBA</w:t>
              </w:r>
            </w:hyperlink>
            <w:r>
              <w:br/>
            </w:r>
            <w:r>
              <w:br/>
            </w:r>
            <w:r>
              <w:rPr>
                <w:sz w:val="16"/>
                <w:szCs w:val="16"/>
              </w:rPr>
              <w:t>Contact:</w:t>
            </w:r>
            <w:r>
              <w:br/>
            </w:r>
            <w:r>
              <w:rPr>
                <w:sz w:val="16"/>
                <w:szCs w:val="16"/>
              </w:rPr>
              <w:t>Murat Sağlam (Türkiye)</w:t>
            </w:r>
          </w:p>
        </w:tc>
        <w:tc>
          <w:tcPr>
            <w:tcW w:w="6800" w:type="dxa"/>
            <w:noWrap/>
          </w:tcPr>
          <w:p w14:paraId="59BA0CBE" w14:textId="77777777" w:rsidR="001E721D" w:rsidRDefault="00000000">
            <w:pPr>
              <w:pStyle w:val="noSpacing"/>
            </w:pPr>
            <w:r>
              <w:rPr>
                <w:sz w:val="18"/>
                <w:szCs w:val="18"/>
              </w:rPr>
              <w:t>SAMBA develops an Agentic AI platform that enables Small Language Models (SLMs) to understand and interact with heterogeneous Industrial IoT environments. Using Model Context Protocol (MCP), SAMBA provides industrial AI agents with structured operational and semantic context across sensors, machines, controllers and enterprise systems. Edge-deployed SLMs enable context-aware reasoning, explainable decisions and autonomous coordination while preserving existing industrial infrastructure. The platform will be validated through real-world industrial and logistics use cases.</w:t>
            </w:r>
          </w:p>
        </w:tc>
        <w:tc>
          <w:tcPr>
            <w:tcW w:w="1600" w:type="dxa"/>
            <w:noWrap/>
          </w:tcPr>
          <w:p w14:paraId="5187BF45" w14:textId="77777777" w:rsidR="001E721D" w:rsidRDefault="001E721D">
            <w:pPr>
              <w:pStyle w:val="noSpacing"/>
            </w:pPr>
          </w:p>
        </w:tc>
      </w:tr>
      <w:tr w:rsidR="001E721D" w14:paraId="1FB80DBB" w14:textId="77777777">
        <w:trPr>
          <w:cantSplit/>
        </w:trPr>
        <w:tc>
          <w:tcPr>
            <w:tcW w:w="800" w:type="dxa"/>
            <w:noWrap/>
          </w:tcPr>
          <w:p w14:paraId="23959773" w14:textId="77777777" w:rsidR="001E721D" w:rsidRDefault="00000000">
            <w:pPr>
              <w:pStyle w:val="noSpacing"/>
            </w:pPr>
            <w:r>
              <w:t>11:24</w:t>
            </w:r>
          </w:p>
        </w:tc>
        <w:tc>
          <w:tcPr>
            <w:tcW w:w="1600" w:type="dxa"/>
            <w:noWrap/>
          </w:tcPr>
          <w:p w14:paraId="3CDFEA53" w14:textId="77777777" w:rsidR="001E721D" w:rsidRDefault="00000000">
            <w:pPr>
              <w:pStyle w:val="noSpacing"/>
            </w:pPr>
            <w:hyperlink r:id="rId27" w:history="1">
              <w:r>
                <w:rPr>
                  <w:color w:val="71BD54"/>
                  <w:u w:val="single"/>
                </w:rPr>
                <w:t>E10: AIDTP</w:t>
              </w:r>
            </w:hyperlink>
            <w:r>
              <w:br/>
            </w:r>
            <w:r>
              <w:br/>
            </w:r>
            <w:r>
              <w:rPr>
                <w:sz w:val="16"/>
                <w:szCs w:val="16"/>
              </w:rPr>
              <w:t>Contact:</w:t>
            </w:r>
            <w:r>
              <w:br/>
            </w:r>
            <w:r>
              <w:rPr>
                <w:sz w:val="16"/>
                <w:szCs w:val="16"/>
              </w:rPr>
              <w:t>Raymond Sangyong Cho (Republic of Korea)</w:t>
            </w:r>
          </w:p>
        </w:tc>
        <w:tc>
          <w:tcPr>
            <w:tcW w:w="6800" w:type="dxa"/>
            <w:noWrap/>
          </w:tcPr>
          <w:p w14:paraId="752D39EE" w14:textId="77777777" w:rsidR="001E721D" w:rsidRDefault="00000000">
            <w:pPr>
              <w:pStyle w:val="noSpacing"/>
            </w:pPr>
            <w:r>
              <w:rPr>
                <w:sz w:val="18"/>
                <w:szCs w:val="18"/>
              </w:rPr>
              <w:t>Providing an environment for enhancing the capabilities of employees through digitalization based on AI/DT/XR technologies- Digitalization and standardization of skilled worker’s knowledge data- Development of XR-based training content based on digitalization- Development of a Digital Twin Authoring Tool for the Activation of AI-based Digital Twins</w:t>
            </w:r>
          </w:p>
        </w:tc>
        <w:tc>
          <w:tcPr>
            <w:tcW w:w="1600" w:type="dxa"/>
            <w:noWrap/>
          </w:tcPr>
          <w:p w14:paraId="6314601C" w14:textId="77777777" w:rsidR="001E721D" w:rsidRDefault="001E721D">
            <w:pPr>
              <w:pStyle w:val="noSpacing"/>
            </w:pPr>
          </w:p>
        </w:tc>
      </w:tr>
      <w:tr w:rsidR="001E721D" w14:paraId="2B05AD93" w14:textId="77777777">
        <w:trPr>
          <w:cantSplit/>
        </w:trPr>
        <w:tc>
          <w:tcPr>
            <w:tcW w:w="800" w:type="dxa"/>
            <w:noWrap/>
          </w:tcPr>
          <w:p w14:paraId="72F38690" w14:textId="77777777" w:rsidR="001E721D" w:rsidRDefault="00000000">
            <w:pPr>
              <w:pStyle w:val="noSpacing"/>
            </w:pPr>
            <w:r>
              <w:t>11:28</w:t>
            </w:r>
          </w:p>
        </w:tc>
        <w:tc>
          <w:tcPr>
            <w:tcW w:w="1600" w:type="dxa"/>
            <w:noWrap/>
          </w:tcPr>
          <w:p w14:paraId="037E3508" w14:textId="77777777" w:rsidR="001E721D" w:rsidRDefault="00000000">
            <w:pPr>
              <w:pStyle w:val="noSpacing"/>
            </w:pPr>
            <w:hyperlink r:id="rId28" w:history="1">
              <w:r>
                <w:rPr>
                  <w:color w:val="71BD54"/>
                  <w:u w:val="single"/>
                </w:rPr>
                <w:t>E11: FRESHCHAIN</w:t>
              </w:r>
            </w:hyperlink>
            <w:r>
              <w:br/>
            </w:r>
            <w:r>
              <w:br/>
            </w:r>
            <w:r>
              <w:rPr>
                <w:sz w:val="16"/>
                <w:szCs w:val="16"/>
              </w:rPr>
              <w:t>Contact:</w:t>
            </w:r>
            <w:r>
              <w:br/>
            </w:r>
            <w:r>
              <w:rPr>
                <w:sz w:val="16"/>
                <w:szCs w:val="16"/>
              </w:rPr>
              <w:t>Irena Mesaric (Slovenia)</w:t>
            </w:r>
          </w:p>
        </w:tc>
        <w:tc>
          <w:tcPr>
            <w:tcW w:w="6800" w:type="dxa"/>
            <w:noWrap/>
          </w:tcPr>
          <w:p w14:paraId="1BC52AFB" w14:textId="77777777" w:rsidR="001E721D" w:rsidRDefault="00000000">
            <w:pPr>
              <w:pStyle w:val="noSpacing"/>
            </w:pPr>
            <w:r>
              <w:rPr>
                <w:sz w:val="18"/>
                <w:szCs w:val="18"/>
              </w:rPr>
              <w:t>FRESHCHAIN will develop a decision platform for the fresh-food cold chain, aimed at distributors, carriers and retailers that need to manage quality across multi-operator logistics networks. Instead of only monitoring temperature thresholds, the platform will use existing telemetry to predict the remaining shelf-life of each shipment, quantify uncertainty and trigger operational or commercial actions such as rerouting, markdown or surplus sales. By exchanging trusted quality evidence through a standardised quality passport, the project will help reduce avoidable food waste, improve stock decisions and optimise cooling energy without adding another sensor layer.</w:t>
            </w:r>
          </w:p>
        </w:tc>
        <w:tc>
          <w:tcPr>
            <w:tcW w:w="1600" w:type="dxa"/>
            <w:noWrap/>
          </w:tcPr>
          <w:p w14:paraId="760EA610" w14:textId="77777777" w:rsidR="001E721D" w:rsidRDefault="001E721D">
            <w:pPr>
              <w:pStyle w:val="noSpacing"/>
            </w:pPr>
          </w:p>
        </w:tc>
      </w:tr>
      <w:tr w:rsidR="001E721D" w14:paraId="74D4EA1F" w14:textId="77777777">
        <w:trPr>
          <w:cantSplit/>
        </w:trPr>
        <w:tc>
          <w:tcPr>
            <w:tcW w:w="800" w:type="dxa"/>
            <w:noWrap/>
          </w:tcPr>
          <w:p w14:paraId="13E09A53" w14:textId="77777777" w:rsidR="001E721D" w:rsidRDefault="00000000">
            <w:pPr>
              <w:pStyle w:val="noSpacing"/>
            </w:pPr>
            <w:r>
              <w:lastRenderedPageBreak/>
              <w:t>11:32</w:t>
            </w:r>
          </w:p>
        </w:tc>
        <w:tc>
          <w:tcPr>
            <w:tcW w:w="1600" w:type="dxa"/>
            <w:noWrap/>
          </w:tcPr>
          <w:p w14:paraId="2A8D254A" w14:textId="77777777" w:rsidR="001E721D" w:rsidRDefault="00000000">
            <w:pPr>
              <w:pStyle w:val="noSpacing"/>
            </w:pPr>
            <w:hyperlink r:id="rId29" w:history="1">
              <w:r>
                <w:rPr>
                  <w:color w:val="71BD54"/>
                  <w:u w:val="single"/>
                </w:rPr>
                <w:t>E12: MADE</w:t>
              </w:r>
            </w:hyperlink>
            <w:r>
              <w:br/>
            </w:r>
            <w:r>
              <w:br/>
            </w:r>
            <w:r>
              <w:rPr>
                <w:sz w:val="16"/>
                <w:szCs w:val="16"/>
              </w:rPr>
              <w:t>Contact:</w:t>
            </w:r>
            <w:r>
              <w:br/>
            </w:r>
            <w:r>
              <w:rPr>
                <w:sz w:val="16"/>
                <w:szCs w:val="16"/>
              </w:rPr>
              <w:t>Erhan Alasar (Türkiye)</w:t>
            </w:r>
          </w:p>
        </w:tc>
        <w:tc>
          <w:tcPr>
            <w:tcW w:w="6800" w:type="dxa"/>
            <w:noWrap/>
          </w:tcPr>
          <w:p w14:paraId="03DC5823" w14:textId="77777777" w:rsidR="001E721D" w:rsidRDefault="00000000">
            <w:pPr>
              <w:pStyle w:val="noSpacing"/>
            </w:pPr>
            <w:r>
              <w:rPr>
                <w:sz w:val="18"/>
                <w:szCs w:val="18"/>
              </w:rPr>
              <w:t>Agentmetric will develop an enterprise multi-agent platform that connects heterogeneous data sources, data warehouses, BI platforms, and business applications to provide role-aware insights through natural language interaction. The platform will integrate with systems such as relational databases, DWH environments, Power BI, Tableau, and other enterprise tools, enabling users to access critical KPIs and insights without building reports, dashboards, or drag-and-drop analytics flows.The project will investigate how domain-specific AI agents can securely access enterprise data, interpret business context, collaborate with other agents, and transform user questions into analysis, insights, recommendations, and actions. Agentmetric will support role-based authorization, multi-agent orchestration, KPI and OKR interpretation, anomaly detection, and integration with enterprise applications, allowing organizations to move from traditional reporting toward a continuous question → analysis → insight → decision → action workflow.The platform will support the creation of specialized agents for different industries, departments, and operational roles, including sales, finance, service, operations, energy management, and management functions. Agentmetric aims to reduce dependency on manually designed BI reports, shorten the time from data to decision, and provide organizations with a scalable and measurable agentic intelligence layer across their existing technology landscape.</w:t>
            </w:r>
          </w:p>
        </w:tc>
        <w:tc>
          <w:tcPr>
            <w:tcW w:w="1600" w:type="dxa"/>
            <w:noWrap/>
          </w:tcPr>
          <w:p w14:paraId="372DD86F" w14:textId="77777777" w:rsidR="001E721D" w:rsidRDefault="001E721D">
            <w:pPr>
              <w:pStyle w:val="noSpacing"/>
            </w:pPr>
          </w:p>
        </w:tc>
      </w:tr>
      <w:tr w:rsidR="001E721D" w14:paraId="22D5D280" w14:textId="77777777">
        <w:trPr>
          <w:cantSplit/>
        </w:trPr>
        <w:tc>
          <w:tcPr>
            <w:tcW w:w="800" w:type="dxa"/>
            <w:noWrap/>
          </w:tcPr>
          <w:p w14:paraId="27269243" w14:textId="77777777" w:rsidR="001E721D" w:rsidRDefault="00000000">
            <w:pPr>
              <w:pStyle w:val="noSpacing"/>
            </w:pPr>
            <w:r>
              <w:t>11:36</w:t>
            </w:r>
          </w:p>
        </w:tc>
        <w:tc>
          <w:tcPr>
            <w:tcW w:w="1600" w:type="dxa"/>
            <w:noWrap/>
          </w:tcPr>
          <w:p w14:paraId="0DC5D681" w14:textId="77777777" w:rsidR="001E721D" w:rsidRDefault="00000000">
            <w:pPr>
              <w:pStyle w:val="noSpacing"/>
            </w:pPr>
            <w:hyperlink r:id="rId30" w:history="1">
              <w:r>
                <w:rPr>
                  <w:color w:val="71BD54"/>
                  <w:u w:val="single"/>
                </w:rPr>
                <w:t>E13: FLEX-DC</w:t>
              </w:r>
            </w:hyperlink>
            <w:r>
              <w:br/>
            </w:r>
            <w:r>
              <w:br/>
            </w:r>
            <w:r>
              <w:rPr>
                <w:sz w:val="16"/>
                <w:szCs w:val="16"/>
              </w:rPr>
              <w:t>Contact:</w:t>
            </w:r>
            <w:r>
              <w:br/>
            </w:r>
            <w:r>
              <w:rPr>
                <w:sz w:val="16"/>
                <w:szCs w:val="16"/>
              </w:rPr>
              <w:t>JaeJin Lee (Republic of Korea)</w:t>
            </w:r>
          </w:p>
        </w:tc>
        <w:tc>
          <w:tcPr>
            <w:tcW w:w="6800" w:type="dxa"/>
            <w:noWrap/>
          </w:tcPr>
          <w:p w14:paraId="79C2D53F" w14:textId="77777777" w:rsidR="001E721D" w:rsidRDefault="00000000">
            <w:pPr>
              <w:pStyle w:val="noSpacing"/>
            </w:pPr>
            <w:r>
              <w:rPr>
                <w:sz w:val="18"/>
                <w:szCs w:val="18"/>
              </w:rPr>
              <w:t>FLEX-DC develops an AI-driven flexible power platform for data centers that predicts power demand from cloud workloads and operating patterns. It coordinates energy resources such as PV, wind, ESS, and backup generators through DC coupling to respond to rapid load fluctuations and optimize overall power use, including cooling. The platform aims to improve data center energy flexibility while reducing peak demand and the need for grid expansion</w:t>
            </w:r>
          </w:p>
        </w:tc>
        <w:tc>
          <w:tcPr>
            <w:tcW w:w="1600" w:type="dxa"/>
            <w:noWrap/>
          </w:tcPr>
          <w:p w14:paraId="427BCF8B" w14:textId="77777777" w:rsidR="001E721D" w:rsidRDefault="001E721D">
            <w:pPr>
              <w:pStyle w:val="noSpacing"/>
            </w:pPr>
          </w:p>
        </w:tc>
      </w:tr>
      <w:tr w:rsidR="001E721D" w14:paraId="1C7B640A" w14:textId="77777777">
        <w:trPr>
          <w:cantSplit/>
        </w:trPr>
        <w:tc>
          <w:tcPr>
            <w:tcW w:w="800" w:type="dxa"/>
            <w:noWrap/>
          </w:tcPr>
          <w:p w14:paraId="7FF94B84" w14:textId="77777777" w:rsidR="001E721D" w:rsidRDefault="00000000">
            <w:pPr>
              <w:pStyle w:val="noSpacing"/>
            </w:pPr>
            <w:r>
              <w:lastRenderedPageBreak/>
              <w:t>11:40</w:t>
            </w:r>
          </w:p>
        </w:tc>
        <w:tc>
          <w:tcPr>
            <w:tcW w:w="1600" w:type="dxa"/>
            <w:noWrap/>
          </w:tcPr>
          <w:p w14:paraId="19D3110C" w14:textId="77777777" w:rsidR="001E721D" w:rsidRDefault="00000000">
            <w:pPr>
              <w:pStyle w:val="noSpacing"/>
            </w:pPr>
            <w:hyperlink r:id="rId31" w:history="1">
              <w:r>
                <w:rPr>
                  <w:color w:val="71BD54"/>
                  <w:u w:val="single"/>
                </w:rPr>
                <w:t>E15: OntoAgentic</w:t>
              </w:r>
            </w:hyperlink>
            <w:r>
              <w:br/>
            </w:r>
            <w:r>
              <w:br/>
            </w:r>
            <w:r>
              <w:rPr>
                <w:sz w:val="16"/>
                <w:szCs w:val="16"/>
              </w:rPr>
              <w:t>Contact:</w:t>
            </w:r>
            <w:r>
              <w:br/>
            </w:r>
            <w:r>
              <w:rPr>
                <w:sz w:val="16"/>
                <w:szCs w:val="16"/>
              </w:rPr>
              <w:t>Juan Miguel  Gomez (Spain)</w:t>
            </w:r>
          </w:p>
        </w:tc>
        <w:tc>
          <w:tcPr>
            <w:tcW w:w="6800" w:type="dxa"/>
            <w:noWrap/>
          </w:tcPr>
          <w:p w14:paraId="5141CA35" w14:textId="77777777" w:rsidR="001E721D" w:rsidRDefault="00000000">
            <w:pPr>
              <w:pStyle w:val="noSpacing"/>
            </w:pPr>
            <w:r>
              <w:rPr>
                <w:sz w:val="18"/>
                <w:szCs w:val="18"/>
              </w:rPr>
              <w:t>In Industrial IoT, Agentic AI today usually means an LLM chatbot bolted onto a plant's data — with a mountain of glue code underneath: Python scripts stitching together OPC-UA/MQTT connectors, hand-rolled state machines for machine and process status, bespoke memory for sensor history and maintenance logs, and separate, disconnected systems for observability (is the agent seeing real telemetry?), permissions (which agent can touch which actuator or safety-critical control loop?), orchestration (coordinating agents across edge devices, gateways, and cloud), durability (surviving network drops and device restarts without losing state), sandboxing (isolating an agent's actions from live equipment), and guardrails (preventing unsafe commands to physical machinery). Compounding this, the emerging "agentic protocols" meant to standardize how agents talk to tools and to each other — MCP, A2A, ACP, ANP, and various vendor-specific function-calling and tool-use schemes — are themselves mutually incompatible, each with its own model of tools, context, memory, and authorization, so an IIoT integrator ends up writing yet another layer of glue just to bridge protocols before any of it reaches the plant floor. Each plant, vendor, and integrator reinvents this stack, and none of it talks to the others.OntoAgentic proposes a single ontology / knowledge-graph substrate as the shared semantic backbone underneath all of it: assets, sensors, actuators, processes, digital-twin states, permissions, safety constraints, and event/maintenance history are modeled as nodes and relations in one common industrial knowledge graph, aligned with existing standards (e.g., OPC-UA information models, ISA-95). It will also use the Upper Ontology / Knowledge Graph (key concepts, axioms and common properties) and Domain Ontology ( Knowledge Graph (focused on the domain particular features).Rather than treating MCP, A2A, ACP, and similar protocols as competing silos, OntoAgentic treats them as interchangeable transport bindings over the same underlying ontology — a tool exposed via MCP and an agent reached via A2A both resolve to the same graph-defined entities, capabilities, and permission constraints, so heterogeneous protocols can interoperate without bespoke translation code per pair. Agents reason and act by querying and updating this graph rather than private, ad-hoc state — so orchestration across the edge-to-cloud continuum, durability through graph-persisted state, observability via graph provenance, and safety guardrails via explicit ontological constraints on what an agent may do to physical equipment all fall out of the same unified structure instead of being separately engineered per deployment, per vendor, and per protocol. The result is agentic AI for IIoT that is safer to deploy near real machinery, easier to audit, and reusable across plants, vendors, and protocol ecosystems instead of rebuilt from scratch each time.</w:t>
            </w:r>
          </w:p>
        </w:tc>
        <w:tc>
          <w:tcPr>
            <w:tcW w:w="1600" w:type="dxa"/>
            <w:noWrap/>
          </w:tcPr>
          <w:p w14:paraId="63F72CB7" w14:textId="77777777" w:rsidR="001E721D" w:rsidRDefault="001E721D">
            <w:pPr>
              <w:pStyle w:val="noSpacing"/>
            </w:pPr>
          </w:p>
        </w:tc>
      </w:tr>
      <w:tr w:rsidR="001E721D" w14:paraId="69AA2EE4" w14:textId="77777777">
        <w:trPr>
          <w:cantSplit/>
        </w:trPr>
        <w:tc>
          <w:tcPr>
            <w:tcW w:w="800" w:type="dxa"/>
            <w:noWrap/>
          </w:tcPr>
          <w:p w14:paraId="44B99B44" w14:textId="77777777" w:rsidR="001E721D" w:rsidRDefault="00000000">
            <w:pPr>
              <w:pStyle w:val="noSpacing"/>
            </w:pPr>
            <w:r>
              <w:t>11:44</w:t>
            </w:r>
          </w:p>
        </w:tc>
        <w:tc>
          <w:tcPr>
            <w:tcW w:w="1600" w:type="dxa"/>
            <w:noWrap/>
          </w:tcPr>
          <w:p w14:paraId="1F864C0F" w14:textId="77777777" w:rsidR="001E721D" w:rsidRDefault="00000000">
            <w:pPr>
              <w:pStyle w:val="noSpacing"/>
            </w:pPr>
            <w:hyperlink r:id="rId32" w:history="1">
              <w:r>
                <w:rPr>
                  <w:color w:val="71BD54"/>
                  <w:u w:val="single"/>
                </w:rPr>
                <w:t>E17: PULSE</w:t>
              </w:r>
            </w:hyperlink>
            <w:r>
              <w:br/>
            </w:r>
            <w:r>
              <w:br/>
            </w:r>
            <w:r>
              <w:rPr>
                <w:sz w:val="16"/>
                <w:szCs w:val="16"/>
              </w:rPr>
              <w:t>Contact:</w:t>
            </w:r>
            <w:r>
              <w:br/>
            </w:r>
            <w:r>
              <w:rPr>
                <w:sz w:val="16"/>
                <w:szCs w:val="16"/>
              </w:rPr>
              <w:t>Irena Mesaric (Slovenia)</w:t>
            </w:r>
          </w:p>
        </w:tc>
        <w:tc>
          <w:tcPr>
            <w:tcW w:w="6800" w:type="dxa"/>
            <w:noWrap/>
          </w:tcPr>
          <w:p w14:paraId="7E209271" w14:textId="77777777" w:rsidR="001E721D" w:rsidRDefault="00000000">
            <w:pPr>
              <w:pStyle w:val="noSpacing"/>
            </w:pPr>
            <w:r>
              <w:rPr>
                <w:sz w:val="18"/>
                <w:szCs w:val="18"/>
              </w:rPr>
              <w:t>PULSE will build a European market-nowcasting platform and grounded generative-AI copilot for SMEs. It will transform frequently refreshed unconventional data into comparable sector and regional indicators, evidence-linked recommendations and auditable what-if simulations. By replacing lagging statistics and unverifiable chatbot advice with timely quantitative evidence, uncertainty estimates and traceable claims, the platform will help SMEs make faster, better-informed decisions on internationalisation, pricing and campaign timing, while supporting privacy-preserving business-signal sharing.</w:t>
            </w:r>
          </w:p>
        </w:tc>
        <w:tc>
          <w:tcPr>
            <w:tcW w:w="1600" w:type="dxa"/>
            <w:noWrap/>
          </w:tcPr>
          <w:p w14:paraId="429F05B1" w14:textId="77777777" w:rsidR="001E721D" w:rsidRDefault="001E721D">
            <w:pPr>
              <w:pStyle w:val="noSpacing"/>
            </w:pPr>
          </w:p>
        </w:tc>
      </w:tr>
      <w:tr w:rsidR="001E721D" w14:paraId="3A7E0C24" w14:textId="77777777">
        <w:trPr>
          <w:cantSplit/>
        </w:trPr>
        <w:tc>
          <w:tcPr>
            <w:tcW w:w="800" w:type="dxa"/>
            <w:noWrap/>
          </w:tcPr>
          <w:p w14:paraId="40D5C7A1" w14:textId="77777777" w:rsidR="001E721D" w:rsidRDefault="00000000">
            <w:pPr>
              <w:pStyle w:val="noSpacing"/>
            </w:pPr>
            <w:r>
              <w:t>11:48</w:t>
            </w:r>
          </w:p>
        </w:tc>
        <w:tc>
          <w:tcPr>
            <w:tcW w:w="1600" w:type="dxa"/>
            <w:noWrap/>
          </w:tcPr>
          <w:p w14:paraId="64584D6B" w14:textId="77777777" w:rsidR="001E721D" w:rsidRDefault="00000000">
            <w:pPr>
              <w:pStyle w:val="noSpacing"/>
            </w:pPr>
            <w:hyperlink r:id="rId33" w:history="1">
              <w:r>
                <w:rPr>
                  <w:color w:val="71BD54"/>
                  <w:u w:val="single"/>
                </w:rPr>
                <w:t>E18: FIN-TWIN</w:t>
              </w:r>
            </w:hyperlink>
            <w:r>
              <w:br/>
            </w:r>
            <w:r>
              <w:br/>
            </w:r>
            <w:r>
              <w:rPr>
                <w:sz w:val="16"/>
                <w:szCs w:val="16"/>
              </w:rPr>
              <w:t>Contact:</w:t>
            </w:r>
            <w:r>
              <w:br/>
            </w:r>
            <w:r>
              <w:rPr>
                <w:sz w:val="16"/>
                <w:szCs w:val="16"/>
              </w:rPr>
              <w:t>Fatih Ozhamaratli (United Kingdom)</w:t>
            </w:r>
          </w:p>
        </w:tc>
        <w:tc>
          <w:tcPr>
            <w:tcW w:w="6800" w:type="dxa"/>
            <w:noWrap/>
          </w:tcPr>
          <w:p w14:paraId="2A9EEB39" w14:textId="77777777" w:rsidR="001E721D" w:rsidRDefault="00000000">
            <w:pPr>
              <w:pStyle w:val="noSpacing"/>
            </w:pPr>
            <w:r>
              <w:rPr>
                <w:sz w:val="18"/>
                <w:szCs w:val="18"/>
              </w:rPr>
              <w:t>FIN-TWIN will model how **operational and financial shocks propagate through multi-tier supply, customer, payment and credit networks**.It combines:* **uncertainty-aware firm-network reconstruction*** **evidence-grounded agent behaviour*** **automated ABM calibration*** **scenario simulation and mitigation**Banking and enterprise pilots will validate improved **early warning, indirect-risk detection and resilience decisions**, including supplier diversification, inventory policies and targeted credit-risk actions.</w:t>
            </w:r>
          </w:p>
        </w:tc>
        <w:tc>
          <w:tcPr>
            <w:tcW w:w="1600" w:type="dxa"/>
            <w:noWrap/>
          </w:tcPr>
          <w:p w14:paraId="2DB2AC05" w14:textId="77777777" w:rsidR="001E721D" w:rsidRDefault="001E721D">
            <w:pPr>
              <w:pStyle w:val="noSpacing"/>
            </w:pPr>
          </w:p>
        </w:tc>
      </w:tr>
      <w:tr w:rsidR="001E721D" w14:paraId="1172306C" w14:textId="77777777">
        <w:trPr>
          <w:cantSplit/>
        </w:trPr>
        <w:tc>
          <w:tcPr>
            <w:tcW w:w="800" w:type="dxa"/>
            <w:noWrap/>
          </w:tcPr>
          <w:p w14:paraId="10A49021" w14:textId="77777777" w:rsidR="001E721D" w:rsidRDefault="00000000">
            <w:pPr>
              <w:pStyle w:val="noSpacing"/>
            </w:pPr>
            <w:r>
              <w:lastRenderedPageBreak/>
              <w:t>11:52</w:t>
            </w:r>
          </w:p>
        </w:tc>
        <w:tc>
          <w:tcPr>
            <w:tcW w:w="1600" w:type="dxa"/>
            <w:noWrap/>
          </w:tcPr>
          <w:p w14:paraId="143A0DAB" w14:textId="77777777" w:rsidR="001E721D" w:rsidRDefault="00000000">
            <w:pPr>
              <w:pStyle w:val="noSpacing"/>
            </w:pPr>
            <w:hyperlink r:id="rId34" w:history="1">
              <w:r>
                <w:rPr>
                  <w:color w:val="71BD54"/>
                  <w:u w:val="single"/>
                </w:rPr>
                <w:t>E19: AIMS4PC</w:t>
              </w:r>
            </w:hyperlink>
            <w:r>
              <w:br/>
            </w:r>
            <w:r>
              <w:br/>
            </w:r>
            <w:r>
              <w:rPr>
                <w:sz w:val="16"/>
                <w:szCs w:val="16"/>
              </w:rPr>
              <w:t>Contact:</w:t>
            </w:r>
            <w:r>
              <w:br/>
            </w:r>
            <w:r>
              <w:rPr>
                <w:sz w:val="16"/>
                <w:szCs w:val="16"/>
              </w:rPr>
              <w:t>Hoon Lee (Republic of Korea)</w:t>
            </w:r>
          </w:p>
        </w:tc>
        <w:tc>
          <w:tcPr>
            <w:tcW w:w="6800" w:type="dxa"/>
            <w:noWrap/>
          </w:tcPr>
          <w:p w14:paraId="122B1E22" w14:textId="77777777" w:rsidR="001E721D" w:rsidRDefault="00000000">
            <w:pPr>
              <w:pStyle w:val="noSpacing"/>
            </w:pPr>
            <w:r>
              <w:rPr>
                <w:sz w:val="18"/>
                <w:szCs w:val="18"/>
              </w:rPr>
              <w:t>1. Demand-Supplier Collaboration- Centered on Busan Port Terminal (BPT), the end-user of port cranes, the consortium brings together technology providers covering the entire crane lifecycle, including maintenance, inspection, control, AI-based predictive maintenance, and Terminal Operating Systems (TOS).2. Compliance with Industry Standards- Ensures interoperability among port equipment, operational systems, and digital platforms through compliance with TIC 4.0 industry standards.3. Port 4.0 Response- Addresses Port 4.0 requirements through an AI-driven Intelligent AIMS that integrates IoT, Big Data, Cloud/On-Premise computing, mobile services, and Digital Twin technologies to optimize crane control, operations, and asset management.</w:t>
            </w:r>
          </w:p>
        </w:tc>
        <w:tc>
          <w:tcPr>
            <w:tcW w:w="1600" w:type="dxa"/>
            <w:noWrap/>
          </w:tcPr>
          <w:p w14:paraId="1B2FBCFF" w14:textId="77777777" w:rsidR="001E721D" w:rsidRDefault="001E721D">
            <w:pPr>
              <w:pStyle w:val="noSpacing"/>
            </w:pPr>
          </w:p>
        </w:tc>
      </w:tr>
      <w:tr w:rsidR="001E721D" w14:paraId="0A2F7CF7" w14:textId="77777777">
        <w:trPr>
          <w:cantSplit/>
        </w:trPr>
        <w:tc>
          <w:tcPr>
            <w:tcW w:w="800" w:type="dxa"/>
            <w:noWrap/>
          </w:tcPr>
          <w:p w14:paraId="64B85209" w14:textId="77777777" w:rsidR="001E721D" w:rsidRDefault="00000000">
            <w:pPr>
              <w:pStyle w:val="noSpacing"/>
            </w:pPr>
            <w:r>
              <w:t>11:56</w:t>
            </w:r>
          </w:p>
        </w:tc>
        <w:tc>
          <w:tcPr>
            <w:tcW w:w="1600" w:type="dxa"/>
            <w:noWrap/>
          </w:tcPr>
          <w:p w14:paraId="0E3002F5" w14:textId="77777777" w:rsidR="001E721D" w:rsidRDefault="00000000">
            <w:pPr>
              <w:pStyle w:val="noSpacing"/>
            </w:pPr>
            <w:hyperlink r:id="rId35" w:history="1">
              <w:r>
                <w:rPr>
                  <w:color w:val="71BD54"/>
                  <w:u w:val="single"/>
                </w:rPr>
                <w:t>E21: zippit!</w:t>
              </w:r>
            </w:hyperlink>
            <w:r>
              <w:br/>
            </w:r>
            <w:r>
              <w:br/>
            </w:r>
            <w:r>
              <w:rPr>
                <w:sz w:val="16"/>
                <w:szCs w:val="16"/>
              </w:rPr>
              <w:t>Contact:</w:t>
            </w:r>
            <w:r>
              <w:br/>
            </w:r>
            <w:r>
              <w:rPr>
                <w:sz w:val="16"/>
                <w:szCs w:val="16"/>
              </w:rPr>
              <w:t>Julian de Marchi (The Netherlands)</w:t>
            </w:r>
          </w:p>
        </w:tc>
        <w:tc>
          <w:tcPr>
            <w:tcW w:w="6800" w:type="dxa"/>
            <w:noWrap/>
          </w:tcPr>
          <w:p w14:paraId="62EE22C1" w14:textId="77777777" w:rsidR="001E721D" w:rsidRDefault="00000000">
            <w:pPr>
              <w:pStyle w:val="noSpacing"/>
            </w:pPr>
            <w:r>
              <w:rPr>
                <w:sz w:val="18"/>
                <w:szCs w:val="18"/>
              </w:rPr>
              <w:t>Wouldn't it be nice if you could share your data with someone without having to worry about where it ends up or how it is used? Because you already set up beforehand who could access it, and what it could be used for? And, if you wanted to, you could stop access to your data by someone, any time you wanted to, for whatever reason, no matter who it was?And, what if you could access data from a business partner to train your AI model with, without your partner having to worry about their company secrets being leaked? And without you having to worry about your partner accidentally accessing the secrets hidden in your model?These two questions are exactly what this project is about. Only you decide who accesses your data, or your model - who, how, when, where, and why. And, combine data with models, but only under your own terms and conditions.zippit! defines the data sharing goals we want to achieve, and using existing technologies, shows how to make data sovereignty a reality in federated and non-federated co-simulation and learning environments. Useful for EU-based AI, and long-term, better for us as people and for our business communities.</w:t>
            </w:r>
          </w:p>
        </w:tc>
        <w:tc>
          <w:tcPr>
            <w:tcW w:w="1600" w:type="dxa"/>
            <w:noWrap/>
          </w:tcPr>
          <w:p w14:paraId="64B83754" w14:textId="77777777" w:rsidR="001E721D" w:rsidRDefault="001E721D">
            <w:pPr>
              <w:pStyle w:val="noSpacing"/>
            </w:pPr>
          </w:p>
        </w:tc>
      </w:tr>
      <w:tr w:rsidR="001E721D" w14:paraId="26D57723" w14:textId="77777777">
        <w:trPr>
          <w:cantSplit/>
        </w:trPr>
        <w:tc>
          <w:tcPr>
            <w:tcW w:w="800" w:type="dxa"/>
            <w:noWrap/>
          </w:tcPr>
          <w:p w14:paraId="5AD9D556" w14:textId="77777777" w:rsidR="001E721D" w:rsidRDefault="00000000">
            <w:pPr>
              <w:pStyle w:val="noSpacing"/>
            </w:pPr>
            <w:r>
              <w:t>12:00</w:t>
            </w:r>
          </w:p>
        </w:tc>
        <w:tc>
          <w:tcPr>
            <w:tcW w:w="1600" w:type="dxa"/>
            <w:noWrap/>
          </w:tcPr>
          <w:p w14:paraId="71DA3AA0" w14:textId="77777777" w:rsidR="001E721D" w:rsidRDefault="00000000">
            <w:pPr>
              <w:pStyle w:val="noSpacing"/>
            </w:pPr>
            <w:hyperlink r:id="rId36" w:history="1">
              <w:r>
                <w:rPr>
                  <w:color w:val="71BD54"/>
                  <w:u w:val="single"/>
                </w:rPr>
                <w:t>E23: AUTONEDGE-AI</w:t>
              </w:r>
            </w:hyperlink>
            <w:r>
              <w:br/>
            </w:r>
            <w:r>
              <w:br/>
            </w:r>
            <w:r>
              <w:rPr>
                <w:sz w:val="16"/>
                <w:szCs w:val="16"/>
              </w:rPr>
              <w:t>Contact:</w:t>
            </w:r>
            <w:r>
              <w:br/>
            </w:r>
            <w:r>
              <w:rPr>
                <w:sz w:val="16"/>
                <w:szCs w:val="16"/>
              </w:rPr>
              <w:t>Sucharitha Kalpa Udara Perera Kandawalage (Finland)</w:t>
            </w:r>
          </w:p>
        </w:tc>
        <w:tc>
          <w:tcPr>
            <w:tcW w:w="6800" w:type="dxa"/>
            <w:noWrap/>
          </w:tcPr>
          <w:p w14:paraId="5C080C07" w14:textId="77777777" w:rsidR="001E721D" w:rsidRDefault="00000000">
            <w:pPr>
              <w:pStyle w:val="noSpacing"/>
            </w:pPr>
            <w:r>
              <w:rPr>
                <w:sz w:val="18"/>
                <w:szCs w:val="18"/>
              </w:rPr>
              <w:t>AUTONEDGE-AI develops trusted industrial AI and distributed edge intelligence for safe autonomous machines. The project combines machine vision, multimodal sensing, robotics, hybrid AI, Industrial IoT, 5G/6G-ready communication, and runtime safety and cybersecurity assurance. It enables autonomous systems to perceive uncertainty, reason with industrial context, adapt to changing network conditions, verify operational risk, and act safely in real time across manufacturing, logistics, and semi-urban environments.</w:t>
            </w:r>
          </w:p>
        </w:tc>
        <w:tc>
          <w:tcPr>
            <w:tcW w:w="1600" w:type="dxa"/>
            <w:noWrap/>
          </w:tcPr>
          <w:p w14:paraId="3BC244C8" w14:textId="77777777" w:rsidR="001E721D" w:rsidRDefault="001E721D">
            <w:pPr>
              <w:pStyle w:val="noSpacing"/>
            </w:pPr>
          </w:p>
        </w:tc>
      </w:tr>
      <w:tr w:rsidR="001E721D" w14:paraId="4F4008A1" w14:textId="77777777">
        <w:trPr>
          <w:cantSplit/>
        </w:trPr>
        <w:tc>
          <w:tcPr>
            <w:tcW w:w="800" w:type="dxa"/>
            <w:noWrap/>
          </w:tcPr>
          <w:p w14:paraId="66484251" w14:textId="77777777" w:rsidR="001E721D" w:rsidRDefault="00000000">
            <w:pPr>
              <w:pStyle w:val="noSpacing"/>
            </w:pPr>
            <w:r>
              <w:t>12:04</w:t>
            </w:r>
          </w:p>
        </w:tc>
        <w:tc>
          <w:tcPr>
            <w:tcW w:w="1600" w:type="dxa"/>
            <w:noWrap/>
          </w:tcPr>
          <w:p w14:paraId="7D251E00" w14:textId="77777777" w:rsidR="001E721D" w:rsidRDefault="00000000">
            <w:pPr>
              <w:pStyle w:val="noSpacing"/>
            </w:pPr>
            <w:hyperlink r:id="rId37" w:history="1">
              <w:r>
                <w:rPr>
                  <w:color w:val="71BD54"/>
                  <w:u w:val="single"/>
                </w:rPr>
                <w:t>E24: AURELIA</w:t>
              </w:r>
            </w:hyperlink>
            <w:r>
              <w:br/>
            </w:r>
            <w:r>
              <w:br/>
            </w:r>
            <w:r>
              <w:rPr>
                <w:sz w:val="16"/>
                <w:szCs w:val="16"/>
              </w:rPr>
              <w:t>Contact:</w:t>
            </w:r>
            <w:r>
              <w:br/>
            </w:r>
            <w:r>
              <w:rPr>
                <w:sz w:val="16"/>
                <w:szCs w:val="16"/>
              </w:rPr>
              <w:t>Gjalt Loots (The Netherlands)</w:t>
            </w:r>
          </w:p>
        </w:tc>
        <w:tc>
          <w:tcPr>
            <w:tcW w:w="6800" w:type="dxa"/>
            <w:noWrap/>
          </w:tcPr>
          <w:p w14:paraId="13FCDA84" w14:textId="77777777" w:rsidR="001E721D" w:rsidRDefault="00000000">
            <w:pPr>
              <w:pStyle w:val="noSpacing"/>
            </w:pPr>
            <w:r>
              <w:rPr>
                <w:sz w:val="18"/>
                <w:szCs w:val="18"/>
              </w:rPr>
              <w:t>EU manufacturers miss massive revenue opportunities due to siloed supply chains and untraceable product lifecycles. AURELIA introduces a federated, standards-compliant dataspace that seamlessly links real-time machine data to Digital Product Passports (DPPs).By leveraging Secure Multi-Party Computation (SMPC), the project enables secure, cross-border training of Generative AI without exposing raw IP. This sovereign infrastructure empowers SMEs and industrial partners to monetize circularity: transforming manufacturing data into premium digital services and unlocking new turnover streams across Europe's circular economy.</w:t>
            </w:r>
          </w:p>
        </w:tc>
        <w:tc>
          <w:tcPr>
            <w:tcW w:w="1600" w:type="dxa"/>
            <w:noWrap/>
          </w:tcPr>
          <w:p w14:paraId="6657BECF" w14:textId="77777777" w:rsidR="001E721D" w:rsidRDefault="001E721D">
            <w:pPr>
              <w:pStyle w:val="noSpacing"/>
            </w:pPr>
          </w:p>
        </w:tc>
      </w:tr>
      <w:tr w:rsidR="001E721D" w14:paraId="34435BB2" w14:textId="77777777">
        <w:trPr>
          <w:cantSplit/>
        </w:trPr>
        <w:tc>
          <w:tcPr>
            <w:tcW w:w="800" w:type="dxa"/>
            <w:noWrap/>
          </w:tcPr>
          <w:p w14:paraId="6697E4DF" w14:textId="77777777" w:rsidR="001E721D" w:rsidRDefault="00000000">
            <w:pPr>
              <w:pStyle w:val="noSpacing"/>
            </w:pPr>
            <w:r>
              <w:t>12:08</w:t>
            </w:r>
          </w:p>
        </w:tc>
        <w:tc>
          <w:tcPr>
            <w:tcW w:w="1600" w:type="dxa"/>
            <w:noWrap/>
          </w:tcPr>
          <w:p w14:paraId="6C343DCA" w14:textId="77777777" w:rsidR="001E721D" w:rsidRDefault="00000000">
            <w:pPr>
              <w:pStyle w:val="noSpacing"/>
            </w:pPr>
            <w:hyperlink r:id="rId38" w:history="1">
              <w:r>
                <w:rPr>
                  <w:color w:val="71BD54"/>
                  <w:u w:val="single"/>
                </w:rPr>
                <w:t>E25: NeuroEdge</w:t>
              </w:r>
            </w:hyperlink>
            <w:r>
              <w:br/>
            </w:r>
            <w:r>
              <w:br/>
            </w:r>
            <w:r>
              <w:rPr>
                <w:sz w:val="16"/>
                <w:szCs w:val="16"/>
              </w:rPr>
              <w:t>Contact:</w:t>
            </w:r>
            <w:r>
              <w:br/>
            </w:r>
            <w:r>
              <w:rPr>
                <w:sz w:val="16"/>
                <w:szCs w:val="16"/>
              </w:rPr>
              <w:t>Edward Chome (Türkiye)</w:t>
            </w:r>
          </w:p>
        </w:tc>
        <w:tc>
          <w:tcPr>
            <w:tcW w:w="6800" w:type="dxa"/>
            <w:noWrap/>
          </w:tcPr>
          <w:p w14:paraId="2B33551C" w14:textId="77777777" w:rsidR="001E721D" w:rsidRDefault="00000000">
            <w:pPr>
              <w:pStyle w:val="noSpacing"/>
            </w:pPr>
            <w:r>
              <w:rPr>
                <w:sz w:val="18"/>
                <w:szCs w:val="18"/>
              </w:rPr>
              <w:t>NeuroEdge develops a hardware-agnostic Adaptive Physical AI platform for intelligent machines and autonomous edge systems. It combines lightweight reflex intelligence with advanced AI reasoning, enabling known events to be handled locally while novel or uncertain situations trigger cognitive AI agents. The platform learns from validated operational experience, manages reflex lifecycles, and enables privacy-preserving knowledge sharing across similar assets through federated learning.</w:t>
            </w:r>
          </w:p>
        </w:tc>
        <w:tc>
          <w:tcPr>
            <w:tcW w:w="1600" w:type="dxa"/>
            <w:noWrap/>
          </w:tcPr>
          <w:p w14:paraId="6B54EE35" w14:textId="77777777" w:rsidR="001E721D" w:rsidRDefault="001E721D">
            <w:pPr>
              <w:pStyle w:val="noSpacing"/>
            </w:pPr>
          </w:p>
        </w:tc>
      </w:tr>
      <w:tr w:rsidR="001E721D" w14:paraId="5F8E7FE1" w14:textId="77777777">
        <w:trPr>
          <w:cantSplit/>
        </w:trPr>
        <w:tc>
          <w:tcPr>
            <w:tcW w:w="800" w:type="dxa"/>
            <w:noWrap/>
          </w:tcPr>
          <w:p w14:paraId="1721797C" w14:textId="77777777" w:rsidR="001E721D" w:rsidRDefault="00000000">
            <w:pPr>
              <w:pStyle w:val="noSpacing"/>
            </w:pPr>
            <w:r>
              <w:t>12:12</w:t>
            </w:r>
          </w:p>
        </w:tc>
        <w:tc>
          <w:tcPr>
            <w:tcW w:w="1600" w:type="dxa"/>
            <w:noWrap/>
          </w:tcPr>
          <w:p w14:paraId="7A3E37E6" w14:textId="77777777" w:rsidR="001E721D" w:rsidRDefault="00000000">
            <w:pPr>
              <w:pStyle w:val="noSpacing"/>
            </w:pPr>
            <w:hyperlink r:id="rId39" w:history="1">
              <w:r>
                <w:rPr>
                  <w:color w:val="71BD54"/>
                  <w:u w:val="single"/>
                </w:rPr>
                <w:t>E14: REX</w:t>
              </w:r>
            </w:hyperlink>
            <w:r>
              <w:br/>
            </w:r>
            <w:r>
              <w:br/>
            </w:r>
            <w:r>
              <w:rPr>
                <w:sz w:val="16"/>
                <w:szCs w:val="16"/>
              </w:rPr>
              <w:t>Contact:</w:t>
            </w:r>
            <w:r>
              <w:br/>
            </w:r>
            <w:r>
              <w:rPr>
                <w:sz w:val="16"/>
                <w:szCs w:val="16"/>
              </w:rPr>
              <w:t>JaeJin Lee (Republic of Korea)</w:t>
            </w:r>
          </w:p>
        </w:tc>
        <w:tc>
          <w:tcPr>
            <w:tcW w:w="6800" w:type="dxa"/>
            <w:noWrap/>
          </w:tcPr>
          <w:p w14:paraId="3FF3790D" w14:textId="77777777" w:rsidR="001E721D" w:rsidRDefault="00000000">
            <w:pPr>
              <w:pStyle w:val="noSpacing"/>
            </w:pPr>
            <w:r>
              <w:rPr>
                <w:sz w:val="18"/>
                <w:szCs w:val="18"/>
              </w:rPr>
              <w:t>REX enables remote experts to troubleshoot and control PCs, servers, network devices and industrial systems(PLC, SCADA) without software installation. Using USB and serial console interfaces, it supports remote access even during OS failures, while combining system display and live camera video for collaboration with on-site technicians. AI-assisted maintenance information further supports faster and more effective troubleshooting.</w:t>
            </w:r>
          </w:p>
        </w:tc>
        <w:tc>
          <w:tcPr>
            <w:tcW w:w="1600" w:type="dxa"/>
            <w:noWrap/>
          </w:tcPr>
          <w:p w14:paraId="7A77C35B" w14:textId="77777777" w:rsidR="001E721D" w:rsidRDefault="001E721D">
            <w:pPr>
              <w:pStyle w:val="noSpacing"/>
            </w:pPr>
          </w:p>
        </w:tc>
      </w:tr>
      <w:tr w:rsidR="001E721D" w14:paraId="488BF304" w14:textId="77777777">
        <w:trPr>
          <w:cantSplit/>
        </w:trPr>
        <w:tc>
          <w:tcPr>
            <w:tcW w:w="800" w:type="dxa"/>
            <w:noWrap/>
          </w:tcPr>
          <w:p w14:paraId="78CCC44F" w14:textId="77777777" w:rsidR="001E721D" w:rsidRDefault="00000000">
            <w:pPr>
              <w:pStyle w:val="noSpacing"/>
            </w:pPr>
            <w:r>
              <w:lastRenderedPageBreak/>
              <w:t>12:16</w:t>
            </w:r>
          </w:p>
        </w:tc>
        <w:tc>
          <w:tcPr>
            <w:tcW w:w="1600" w:type="dxa"/>
            <w:noWrap/>
          </w:tcPr>
          <w:p w14:paraId="62940847" w14:textId="77777777" w:rsidR="001E721D" w:rsidRDefault="00000000">
            <w:pPr>
              <w:pStyle w:val="noSpacing"/>
            </w:pPr>
            <w:hyperlink r:id="rId40" w:history="1">
              <w:r>
                <w:rPr>
                  <w:color w:val="71BD54"/>
                  <w:u w:val="single"/>
                </w:rPr>
                <w:t>F2: EGN PMS PRO</w:t>
              </w:r>
            </w:hyperlink>
            <w:r>
              <w:br/>
            </w:r>
            <w:r>
              <w:br/>
            </w:r>
            <w:r>
              <w:rPr>
                <w:sz w:val="16"/>
                <w:szCs w:val="16"/>
              </w:rPr>
              <w:t>Contact:</w:t>
            </w:r>
            <w:r>
              <w:br/>
            </w:r>
            <w:r>
              <w:rPr>
                <w:sz w:val="16"/>
                <w:szCs w:val="16"/>
              </w:rPr>
              <w:t>Mehmet Ali Senel (Türkiye)</w:t>
            </w:r>
          </w:p>
        </w:tc>
        <w:tc>
          <w:tcPr>
            <w:tcW w:w="6800" w:type="dxa"/>
            <w:noWrap/>
          </w:tcPr>
          <w:p w14:paraId="640E761D" w14:textId="77777777" w:rsidR="001E721D" w:rsidRDefault="00000000">
            <w:pPr>
              <w:pStyle w:val="noSpacing"/>
            </w:pPr>
            <w:r>
              <w:rPr>
                <w:sz w:val="18"/>
                <w:szCs w:val="18"/>
              </w:rPr>
              <w:t>EGN POWER provides an AI-native platform that unifies trading, production planning, asset health and equipment management for power plants and BESS into one system. Unlike black-box tools, it optimizes for total value, not just short term profit, by weighing equipment life, O&amp;M costs and replacement expenses while backing every decision, warning and alert with clear reasoning through its XAI Stack.Depending on machine learning supported AI Agents, the platform allows users to monitor, plan, act and report the whole value chain. All process can be automized by predefined rule sets allowing agents to decide, or the operator can have strict control and only get recommendations; not for only single items, for the whole energy investment portfolio.</w:t>
            </w:r>
          </w:p>
        </w:tc>
        <w:tc>
          <w:tcPr>
            <w:tcW w:w="1600" w:type="dxa"/>
            <w:noWrap/>
          </w:tcPr>
          <w:p w14:paraId="19D62D13" w14:textId="77777777" w:rsidR="001E721D" w:rsidRDefault="001E721D">
            <w:pPr>
              <w:pStyle w:val="noSpacing"/>
            </w:pPr>
          </w:p>
        </w:tc>
      </w:tr>
      <w:tr w:rsidR="001E721D" w14:paraId="44F433C8" w14:textId="77777777">
        <w:trPr>
          <w:cantSplit/>
        </w:trPr>
        <w:tc>
          <w:tcPr>
            <w:tcW w:w="800" w:type="dxa"/>
            <w:noWrap/>
          </w:tcPr>
          <w:p w14:paraId="3BF6B460" w14:textId="77777777" w:rsidR="001E721D" w:rsidRDefault="00000000">
            <w:pPr>
              <w:pStyle w:val="noSpacing"/>
            </w:pPr>
            <w:r>
              <w:t>12:20</w:t>
            </w:r>
          </w:p>
        </w:tc>
        <w:tc>
          <w:tcPr>
            <w:tcW w:w="1600" w:type="dxa"/>
            <w:noWrap/>
          </w:tcPr>
          <w:p w14:paraId="02728B24" w14:textId="77777777" w:rsidR="001E721D" w:rsidRDefault="00000000">
            <w:pPr>
              <w:pStyle w:val="noSpacing"/>
            </w:pPr>
            <w:hyperlink r:id="rId41" w:history="1">
              <w:r>
                <w:rPr>
                  <w:color w:val="71BD54"/>
                  <w:u w:val="single"/>
                </w:rPr>
                <w:t>G8: COMPASS</w:t>
              </w:r>
            </w:hyperlink>
            <w:r>
              <w:br/>
            </w:r>
            <w:r>
              <w:br/>
            </w:r>
            <w:r>
              <w:rPr>
                <w:sz w:val="16"/>
                <w:szCs w:val="16"/>
              </w:rPr>
              <w:t>Contact:</w:t>
            </w:r>
            <w:r>
              <w:br/>
            </w:r>
            <w:r>
              <w:rPr>
                <w:sz w:val="16"/>
                <w:szCs w:val="16"/>
              </w:rPr>
              <w:t>Sandro Schulze (Germany)</w:t>
            </w:r>
          </w:p>
        </w:tc>
        <w:tc>
          <w:tcPr>
            <w:tcW w:w="6800" w:type="dxa"/>
            <w:noWrap/>
          </w:tcPr>
          <w:p w14:paraId="7F508365" w14:textId="77777777" w:rsidR="001E721D" w:rsidRDefault="00000000">
            <w:pPr>
              <w:pStyle w:val="noSpacing"/>
            </w:pPr>
            <w:r>
              <w:rPr>
                <w:sz w:val="18"/>
                <w:szCs w:val="18"/>
              </w:rPr>
              <w:t>Software is assumed to drive sustainability, yet its development increasingly does the opposite — wasted compute, technical debt, fragile systems and burnt-out teams — while AI-assisted development accelerates these effects and cloud-based analysis of proprietary code raises data-sovereignty concerns. COMPASS delivers an integrated, data-sovereign and tool-supported approach that makes the sustainability state of software development visible, explainable and actionable across all relevant dimensions (economic, technical, environmental, social, individual) and levels (organization, process, product). Its centerpiece is a **Sustainability Pulse Check:** a fast, repeatable diagnostic that turns heterogeneous project signals into decision-ready guidance for operational management, backed by private/on-premise AI and semi-automatic improvement techniques validated in real industrial projects.</w:t>
            </w:r>
          </w:p>
        </w:tc>
        <w:tc>
          <w:tcPr>
            <w:tcW w:w="1600" w:type="dxa"/>
            <w:noWrap/>
          </w:tcPr>
          <w:p w14:paraId="4ECDB70C" w14:textId="77777777" w:rsidR="001E721D" w:rsidRDefault="001E721D">
            <w:pPr>
              <w:pStyle w:val="noSpacing"/>
            </w:pPr>
          </w:p>
        </w:tc>
      </w:tr>
      <w:tr w:rsidR="001E721D" w14:paraId="227AF605" w14:textId="77777777">
        <w:trPr>
          <w:cantSplit/>
        </w:trPr>
        <w:tc>
          <w:tcPr>
            <w:tcW w:w="800" w:type="dxa"/>
            <w:noWrap/>
          </w:tcPr>
          <w:p w14:paraId="67735320" w14:textId="77777777" w:rsidR="001E721D" w:rsidRDefault="00000000">
            <w:pPr>
              <w:pStyle w:val="noSpacing"/>
            </w:pPr>
            <w:r>
              <w:t>12:24</w:t>
            </w:r>
          </w:p>
        </w:tc>
        <w:tc>
          <w:tcPr>
            <w:tcW w:w="1600" w:type="dxa"/>
            <w:noWrap/>
          </w:tcPr>
          <w:p w14:paraId="4E48D9CD" w14:textId="77777777" w:rsidR="001E721D" w:rsidRDefault="00000000">
            <w:pPr>
              <w:pStyle w:val="noSpacing"/>
            </w:pPr>
            <w:hyperlink r:id="rId42" w:history="1">
              <w:r>
                <w:rPr>
                  <w:color w:val="71BD54"/>
                  <w:u w:val="single"/>
                </w:rPr>
                <w:t>H9: VISTA</w:t>
              </w:r>
            </w:hyperlink>
            <w:r>
              <w:br/>
            </w:r>
            <w:r>
              <w:br/>
            </w:r>
            <w:r>
              <w:rPr>
                <w:sz w:val="16"/>
                <w:szCs w:val="16"/>
              </w:rPr>
              <w:t>Contact:</w:t>
            </w:r>
            <w:r>
              <w:br/>
            </w:r>
            <w:r>
              <w:rPr>
                <w:sz w:val="16"/>
                <w:szCs w:val="16"/>
              </w:rPr>
              <w:t>Chaemin Lee (Republic of Korea)</w:t>
            </w:r>
          </w:p>
        </w:tc>
        <w:tc>
          <w:tcPr>
            <w:tcW w:w="6800" w:type="dxa"/>
            <w:noWrap/>
          </w:tcPr>
          <w:p w14:paraId="5BD86BE2" w14:textId="77777777" w:rsidR="001E721D" w:rsidRDefault="00000000">
            <w:pPr>
              <w:pStyle w:val="noSpacing"/>
            </w:pPr>
            <w:r>
              <w:rPr>
                <w:sz w:val="18"/>
                <w:szCs w:val="18"/>
              </w:rPr>
              <w:t>As AI agents increasingly assist with cross-border transactions, there is a growing need for clear, interoperable evidence that a verified, live user approved the specific terms. VISTA will jointly develop privacy-preserving, multimodal authorization evidence that binds verified identity, liveness and live intent to transaction data. The project will address deepfake and replay defence, selective disclosure, adaptive step-up and reusable integration across identity, payment and AI-agent ecosystems.</w:t>
            </w:r>
          </w:p>
        </w:tc>
        <w:tc>
          <w:tcPr>
            <w:tcW w:w="1600" w:type="dxa"/>
            <w:noWrap/>
          </w:tcPr>
          <w:p w14:paraId="18AF91D9" w14:textId="77777777" w:rsidR="001E721D" w:rsidRDefault="001E721D">
            <w:pPr>
              <w:pStyle w:val="noSpacing"/>
            </w:pPr>
          </w:p>
        </w:tc>
      </w:tr>
      <w:tr w:rsidR="001E721D" w14:paraId="054E8B48" w14:textId="77777777">
        <w:trPr>
          <w:cantSplit/>
        </w:trPr>
        <w:tc>
          <w:tcPr>
            <w:tcW w:w="800" w:type="dxa"/>
            <w:noWrap/>
          </w:tcPr>
          <w:p w14:paraId="623CDC88" w14:textId="77777777" w:rsidR="001E721D" w:rsidRDefault="00000000">
            <w:pPr>
              <w:pStyle w:val="noSpacing"/>
            </w:pPr>
            <w:r>
              <w:t>12:28</w:t>
            </w:r>
          </w:p>
        </w:tc>
        <w:tc>
          <w:tcPr>
            <w:tcW w:w="1600" w:type="dxa"/>
            <w:noWrap/>
          </w:tcPr>
          <w:p w14:paraId="53E52885" w14:textId="77777777" w:rsidR="001E721D" w:rsidRDefault="00000000">
            <w:pPr>
              <w:pStyle w:val="noSpacing"/>
            </w:pPr>
            <w:hyperlink r:id="rId43" w:history="1">
              <w:r>
                <w:rPr>
                  <w:color w:val="71BD54"/>
                  <w:u w:val="single"/>
                </w:rPr>
                <w:t>G13: AMASE</w:t>
              </w:r>
            </w:hyperlink>
            <w:r>
              <w:br/>
            </w:r>
            <w:r>
              <w:br/>
            </w:r>
            <w:r>
              <w:rPr>
                <w:sz w:val="16"/>
                <w:szCs w:val="16"/>
              </w:rPr>
              <w:t>Contact:</w:t>
            </w:r>
            <w:r>
              <w:br/>
            </w:r>
            <w:r>
              <w:rPr>
                <w:sz w:val="16"/>
                <w:szCs w:val="16"/>
              </w:rPr>
              <w:t>Daniel Schwarzer (Germany)</w:t>
            </w:r>
          </w:p>
        </w:tc>
        <w:tc>
          <w:tcPr>
            <w:tcW w:w="6800" w:type="dxa"/>
            <w:noWrap/>
          </w:tcPr>
          <w:p w14:paraId="19504B5D" w14:textId="77777777" w:rsidR="001E721D" w:rsidRDefault="00000000">
            <w:pPr>
              <w:pStyle w:val="noSpacing"/>
            </w:pPr>
            <w:r>
              <w:rPr>
                <w:sz w:val="18"/>
                <w:szCs w:val="18"/>
              </w:rPr>
              <w:t>Build the agentic bridge between engineering intent and validated solutions through physical models.The Challenge:- Concept design consumes a small fraction of the development budget — but commits 70–80% of total lifecycle cost.- The one tool that can tell good concepts from bad ones — system simulation — is too slow to use while these decisions are still open=&gt; Too few concepts weaken the design; enough of them break the budget. Either way, the product loses.**AMASE**: Agentic harness for faster Modelica-based engineering cycles- Automated Model generation: Agents autonomously plan, compose, simulate, and calibrate equation-based physical models- Closed-Loop Model verification: Seamless toolchain integration using Modelica compilers, solvers, measurement data and physics laws for iterative self-correction and task specific level of detail- Downstream engineering tasks based on verified tailor-made simulation models and agents, e.g. controller tuning or design optimization</w:t>
            </w:r>
          </w:p>
        </w:tc>
        <w:tc>
          <w:tcPr>
            <w:tcW w:w="1600" w:type="dxa"/>
            <w:noWrap/>
          </w:tcPr>
          <w:p w14:paraId="3867E87B" w14:textId="77777777" w:rsidR="001E721D" w:rsidRDefault="001E721D">
            <w:pPr>
              <w:pStyle w:val="noSpacing"/>
            </w:pPr>
          </w:p>
        </w:tc>
      </w:tr>
      <w:tr w:rsidR="001E721D" w14:paraId="6E57DD9B" w14:textId="77777777">
        <w:trPr>
          <w:cantSplit/>
        </w:trPr>
        <w:tc>
          <w:tcPr>
            <w:tcW w:w="800" w:type="dxa"/>
            <w:noWrap/>
          </w:tcPr>
          <w:p w14:paraId="3141FF68" w14:textId="77777777" w:rsidR="001E721D" w:rsidRDefault="00000000">
            <w:pPr>
              <w:pStyle w:val="noSpacing"/>
            </w:pPr>
            <w:r>
              <w:lastRenderedPageBreak/>
              <w:t>12:32</w:t>
            </w:r>
          </w:p>
        </w:tc>
        <w:tc>
          <w:tcPr>
            <w:tcW w:w="1600" w:type="dxa"/>
            <w:noWrap/>
          </w:tcPr>
          <w:p w14:paraId="4BEFFFBD" w14:textId="77777777" w:rsidR="001E721D" w:rsidRDefault="00000000">
            <w:pPr>
              <w:pStyle w:val="noSpacing"/>
            </w:pPr>
            <w:hyperlink r:id="rId44" w:history="1">
              <w:r>
                <w:rPr>
                  <w:color w:val="71BD54"/>
                  <w:u w:val="single"/>
                </w:rPr>
                <w:t>C7: HyLifeAI</w:t>
              </w:r>
            </w:hyperlink>
            <w:r>
              <w:br/>
            </w:r>
            <w:r>
              <w:br/>
            </w:r>
            <w:r>
              <w:rPr>
                <w:sz w:val="16"/>
                <w:szCs w:val="16"/>
              </w:rPr>
              <w:t>Contact:</w:t>
            </w:r>
            <w:r>
              <w:br/>
            </w:r>
            <w:r>
              <w:rPr>
                <w:sz w:val="16"/>
                <w:szCs w:val="16"/>
              </w:rPr>
              <w:t>Maaike de Boer (The Netherlands)</w:t>
            </w:r>
          </w:p>
        </w:tc>
        <w:tc>
          <w:tcPr>
            <w:tcW w:w="6800" w:type="dxa"/>
            <w:noWrap/>
          </w:tcPr>
          <w:p w14:paraId="5132D006" w14:textId="77777777" w:rsidR="001E721D" w:rsidRDefault="00000000">
            <w:pPr>
              <w:pStyle w:val="noSpacing"/>
            </w:pPr>
            <w:r>
              <w:rPr>
                <w:sz w:val="18"/>
                <w:szCs w:val="18"/>
              </w:rPr>
              <w:t>Type 2 diabetes already affects 1.1 million people in the Netherlands - around 6% of the population - and care costs were estimated at €1.3 billion in 2019, with further growth expected as the population ages. In the EU, 33 million people have diabetes and globally, diabetes prevalence among adults has nearly doubled since 1990 and is projected to keep rising, increasing pressure on healthcare capacity. Beyond healthcare costs, Type 2 diabetes has a substantial impact on sustainable employability: it increases sickness absence, reduces productivity while at work, raises the risk of work limitations and may contribute to partial work disability or earlier labour-market exit, especially when medical and occupational support remain poorly connected.This project develops a trustworthy hybrid intelligence system that connects occupational health and medical care, enabling safe LLM use through medical knowledge grounding, transparent reasoning and continuous learning from human feedback to support personalised, responsible care. Company doctors can use the system to interpret work-related risks, receive explainable recommendations, align with medical care providers and offer personalised guidance that supports sustainable employability.</w:t>
            </w:r>
          </w:p>
        </w:tc>
        <w:tc>
          <w:tcPr>
            <w:tcW w:w="1600" w:type="dxa"/>
            <w:noWrap/>
          </w:tcPr>
          <w:p w14:paraId="25635245" w14:textId="77777777" w:rsidR="001E721D" w:rsidRDefault="001E721D">
            <w:pPr>
              <w:pStyle w:val="noSpacing"/>
            </w:pPr>
          </w:p>
        </w:tc>
      </w:tr>
    </w:tbl>
    <w:p w14:paraId="3BDD7A85" w14:textId="77777777" w:rsidR="00FA2F8B" w:rsidRDefault="00FA2F8B"/>
    <w:sectPr w:rsidR="00FA2F8B">
      <w:headerReference w:type="default" r:id="rId45"/>
      <w:footerReference w:type="default" r:id="rId46"/>
      <w:pgSz w:w="11905" w:h="16837"/>
      <w:pgMar w:top="1500" w:right="500" w:bottom="600" w:left="500" w:header="200" w:footer="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DB20E0" w14:textId="77777777" w:rsidR="00FA2F8B" w:rsidRDefault="00FA2F8B">
      <w:pPr>
        <w:spacing w:after="0" w:line="240" w:lineRule="auto"/>
      </w:pPr>
      <w:r>
        <w:separator/>
      </w:r>
    </w:p>
  </w:endnote>
  <w:endnote w:type="continuationSeparator" w:id="0">
    <w:p w14:paraId="6FEFA713" w14:textId="77777777" w:rsidR="00FA2F8B" w:rsidRDefault="00FA2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85EA04" w14:textId="40FCE65F" w:rsidR="001E721D" w:rsidRDefault="008E56C4">
    <w:pPr>
      <w:jc w:val="right"/>
    </w:pPr>
    <w:r>
      <w:rPr>
        <w:noProof/>
      </w:rPr>
      <w:drawing>
        <wp:anchor distT="0" distB="0" distL="114300" distR="114300" simplePos="0" relativeHeight="251659264" behindDoc="0" locked="0" layoutInCell="1" allowOverlap="1" wp14:anchorId="411E8F12" wp14:editId="5B75D786">
          <wp:simplePos x="0" y="0"/>
          <wp:positionH relativeFrom="page">
            <wp:posOffset>5494655</wp:posOffset>
          </wp:positionH>
          <wp:positionV relativeFrom="page">
            <wp:posOffset>9908621</wp:posOffset>
          </wp:positionV>
          <wp:extent cx="2105768" cy="702696"/>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768" cy="70269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53C817" w14:textId="77777777" w:rsidR="00FA2F8B" w:rsidRDefault="00FA2F8B">
      <w:pPr>
        <w:spacing w:after="0" w:line="240" w:lineRule="auto"/>
      </w:pPr>
      <w:r>
        <w:separator/>
      </w:r>
    </w:p>
  </w:footnote>
  <w:footnote w:type="continuationSeparator" w:id="0">
    <w:p w14:paraId="24D1B1EB" w14:textId="77777777" w:rsidR="00FA2F8B" w:rsidRDefault="00FA2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D3A502" w14:textId="3FD1A92C" w:rsidR="008E56C4" w:rsidRDefault="008E56C4">
    <w:pPr>
      <w:pStyle w:val="Header"/>
    </w:pPr>
    <w:r>
      <w:rPr>
        <w:noProof/>
      </w:rPr>
      <w:drawing>
        <wp:anchor distT="0" distB="0" distL="114300" distR="114300" simplePos="0" relativeHeight="251661312" behindDoc="0" locked="0" layoutInCell="1" allowOverlap="1" wp14:anchorId="6953DF23" wp14:editId="1DAF1C8C">
          <wp:simplePos x="0" y="0"/>
          <wp:positionH relativeFrom="column">
            <wp:posOffset>-2110524</wp:posOffset>
          </wp:positionH>
          <wp:positionV relativeFrom="paragraph">
            <wp:posOffset>-146050</wp:posOffset>
          </wp:positionV>
          <wp:extent cx="12746918" cy="771524"/>
          <wp:effectExtent l="0" t="0" r="0" b="3810"/>
          <wp:wrapNone/>
          <wp:docPr id="30741459" name="Picture 3074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459" name="Picture 30741459"/>
                  <pic:cNvPicPr/>
                </pic:nvPicPr>
                <pic:blipFill>
                  <a:blip r:embed="rId1">
                    <a:extLst>
                      <a:ext uri="{28A0092B-C50C-407E-A947-70E740481C1C}">
                        <a14:useLocalDpi xmlns:a14="http://schemas.microsoft.com/office/drawing/2010/main" val="0"/>
                      </a:ext>
                    </a:extLst>
                  </a:blip>
                  <a:stretch>
                    <a:fillRect/>
                  </a:stretch>
                </pic:blipFill>
                <pic:spPr>
                  <a:xfrm>
                    <a:off x="0" y="0"/>
                    <a:ext cx="12746918" cy="77152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21D"/>
    <w:rsid w:val="000208EB"/>
    <w:rsid w:val="001E721D"/>
    <w:rsid w:val="0084689E"/>
    <w:rsid w:val="008E56C4"/>
    <w:rsid w:val="00FA2F8B"/>
    <w:rsid w:val="00FE1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75F1B"/>
  <w15:docId w15:val="{F3DFB6A4-C5B8-4F41-96D8-F19C6087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noSpacing">
    <w:name w:val="noSpacing"/>
    <w:basedOn w:val="Normal"/>
    <w:pPr>
      <w:spacing w:after="0"/>
    </w:pPr>
  </w:style>
  <w:style w:type="paragraph" w:styleId="Header">
    <w:name w:val="header"/>
    <w:basedOn w:val="Normal"/>
    <w:link w:val="HeaderChar"/>
    <w:uiPriority w:val="99"/>
    <w:unhideWhenUsed/>
    <w:rsid w:val="008E5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6C4"/>
  </w:style>
  <w:style w:type="paragraph" w:styleId="Footer">
    <w:name w:val="footer"/>
    <w:basedOn w:val="Normal"/>
    <w:link w:val="FooterChar"/>
    <w:uiPriority w:val="99"/>
    <w:unhideWhenUsed/>
    <w:rsid w:val="008E5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tea4.org/redirect/idea/2479" TargetMode="External"/><Relationship Id="rId18" Type="http://schemas.openxmlformats.org/officeDocument/2006/relationships/hyperlink" Target="https://itea4.org/redirect/idea/2497" TargetMode="External"/><Relationship Id="rId26" Type="http://schemas.openxmlformats.org/officeDocument/2006/relationships/hyperlink" Target="https://itea4.org/redirect/idea/2459" TargetMode="External"/><Relationship Id="rId39" Type="http://schemas.openxmlformats.org/officeDocument/2006/relationships/hyperlink" Target="https://itea4.org/redirect/idea/2471" TargetMode="External"/><Relationship Id="rId21" Type="http://schemas.openxmlformats.org/officeDocument/2006/relationships/hyperlink" Target="https://itea4.org/redirect/idea/2420" TargetMode="External"/><Relationship Id="rId34" Type="http://schemas.openxmlformats.org/officeDocument/2006/relationships/hyperlink" Target="https://itea4.org/redirect/idea/2490" TargetMode="External"/><Relationship Id="rId42" Type="http://schemas.openxmlformats.org/officeDocument/2006/relationships/hyperlink" Target="https://itea4.org/redirect/idea/2486" TargetMode="External"/><Relationship Id="rId47" Type="http://schemas.openxmlformats.org/officeDocument/2006/relationships/fontTable" Target="fontTable.xml"/><Relationship Id="rId7" Type="http://schemas.openxmlformats.org/officeDocument/2006/relationships/hyperlink" Target="https://itea4.org/redirect/idea/2451" TargetMode="External"/><Relationship Id="rId2" Type="http://schemas.openxmlformats.org/officeDocument/2006/relationships/settings" Target="settings.xml"/><Relationship Id="rId16" Type="http://schemas.openxmlformats.org/officeDocument/2006/relationships/hyperlink" Target="https://itea4.org/redirect/idea/2493" TargetMode="External"/><Relationship Id="rId29" Type="http://schemas.openxmlformats.org/officeDocument/2006/relationships/hyperlink" Target="https://itea4.org/redirect/idea/2465" TargetMode="External"/><Relationship Id="rId1" Type="http://schemas.openxmlformats.org/officeDocument/2006/relationships/styles" Target="styles.xml"/><Relationship Id="rId6" Type="http://schemas.openxmlformats.org/officeDocument/2006/relationships/hyperlink" Target="https://itea4.org/redirect/idea/2428" TargetMode="External"/><Relationship Id="rId11" Type="http://schemas.openxmlformats.org/officeDocument/2006/relationships/hyperlink" Target="https://itea4.org/redirect/idea/2456" TargetMode="External"/><Relationship Id="rId24" Type="http://schemas.openxmlformats.org/officeDocument/2006/relationships/hyperlink" Target="https://itea4.org/redirect/idea/2430" TargetMode="External"/><Relationship Id="rId32" Type="http://schemas.openxmlformats.org/officeDocument/2006/relationships/hyperlink" Target="https://itea4.org/redirect/idea/2476" TargetMode="External"/><Relationship Id="rId37" Type="http://schemas.openxmlformats.org/officeDocument/2006/relationships/hyperlink" Target="https://itea4.org/redirect/idea/2504" TargetMode="External"/><Relationship Id="rId40" Type="http://schemas.openxmlformats.org/officeDocument/2006/relationships/hyperlink" Target="https://itea4.org/redirect/idea/2502"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itea4.org/redirect/idea/2483" TargetMode="External"/><Relationship Id="rId23" Type="http://schemas.openxmlformats.org/officeDocument/2006/relationships/hyperlink" Target="https://itea4.org/redirect/idea/2424" TargetMode="External"/><Relationship Id="rId28" Type="http://schemas.openxmlformats.org/officeDocument/2006/relationships/hyperlink" Target="https://itea4.org/redirect/idea/2463" TargetMode="External"/><Relationship Id="rId36" Type="http://schemas.openxmlformats.org/officeDocument/2006/relationships/hyperlink" Target="https://itea4.org/redirect/idea/2503" TargetMode="External"/><Relationship Id="rId10" Type="http://schemas.openxmlformats.org/officeDocument/2006/relationships/hyperlink" Target="https://itea4.org/redirect/idea/2473" TargetMode="External"/><Relationship Id="rId19" Type="http://schemas.openxmlformats.org/officeDocument/2006/relationships/hyperlink" Target="https://itea4.org/redirect/idea/2500" TargetMode="External"/><Relationship Id="rId31" Type="http://schemas.openxmlformats.org/officeDocument/2006/relationships/hyperlink" Target="https://itea4.org/redirect/idea/2472" TargetMode="External"/><Relationship Id="rId44" Type="http://schemas.openxmlformats.org/officeDocument/2006/relationships/hyperlink" Target="https://itea4.org/redirect/idea/2444" TargetMode="External"/><Relationship Id="rId4" Type="http://schemas.openxmlformats.org/officeDocument/2006/relationships/footnotes" Target="footnotes.xml"/><Relationship Id="rId9" Type="http://schemas.openxmlformats.org/officeDocument/2006/relationships/hyperlink" Target="https://itea4.org/redirect/idea/2469" TargetMode="External"/><Relationship Id="rId14" Type="http://schemas.openxmlformats.org/officeDocument/2006/relationships/hyperlink" Target="https://itea4.org/redirect/idea/2480" TargetMode="External"/><Relationship Id="rId22" Type="http://schemas.openxmlformats.org/officeDocument/2006/relationships/hyperlink" Target="https://itea4.org/redirect/idea/2423" TargetMode="External"/><Relationship Id="rId27" Type="http://schemas.openxmlformats.org/officeDocument/2006/relationships/hyperlink" Target="https://itea4.org/redirect/idea/2460" TargetMode="External"/><Relationship Id="rId30" Type="http://schemas.openxmlformats.org/officeDocument/2006/relationships/hyperlink" Target="https://itea4.org/redirect/idea/2470" TargetMode="External"/><Relationship Id="rId35" Type="http://schemas.openxmlformats.org/officeDocument/2006/relationships/hyperlink" Target="https://itea4.org/redirect/idea/2499" TargetMode="External"/><Relationship Id="rId43" Type="http://schemas.openxmlformats.org/officeDocument/2006/relationships/hyperlink" Target="https://itea4.org/redirect/idea/2508" TargetMode="External"/><Relationship Id="rId48" Type="http://schemas.openxmlformats.org/officeDocument/2006/relationships/theme" Target="theme/theme1.xml"/><Relationship Id="rId8" Type="http://schemas.openxmlformats.org/officeDocument/2006/relationships/hyperlink" Target="https://itea4.org/redirect/idea/2468" TargetMode="External"/><Relationship Id="rId3" Type="http://schemas.openxmlformats.org/officeDocument/2006/relationships/webSettings" Target="webSettings.xml"/><Relationship Id="rId12" Type="http://schemas.openxmlformats.org/officeDocument/2006/relationships/hyperlink" Target="https://itea4.org/redirect/idea/2462" TargetMode="External"/><Relationship Id="rId17" Type="http://schemas.openxmlformats.org/officeDocument/2006/relationships/hyperlink" Target="https://itea4.org/redirect/idea/2496" TargetMode="External"/><Relationship Id="rId25" Type="http://schemas.openxmlformats.org/officeDocument/2006/relationships/hyperlink" Target="https://itea4.org/redirect/idea/2440" TargetMode="External"/><Relationship Id="rId33" Type="http://schemas.openxmlformats.org/officeDocument/2006/relationships/hyperlink" Target="https://itea4.org/redirect/idea/2488" TargetMode="External"/><Relationship Id="rId38" Type="http://schemas.openxmlformats.org/officeDocument/2006/relationships/hyperlink" Target="https://itea4.org/redirect/idea/2505" TargetMode="External"/><Relationship Id="rId46" Type="http://schemas.openxmlformats.org/officeDocument/2006/relationships/footer" Target="footer1.xml"/><Relationship Id="rId20" Type="http://schemas.openxmlformats.org/officeDocument/2006/relationships/hyperlink" Target="https://itea4.org/redirect/idea/2510" TargetMode="External"/><Relationship Id="rId41" Type="http://schemas.openxmlformats.org/officeDocument/2006/relationships/hyperlink" Target="https://itea4.org/redirect/idea/246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5457</Words>
  <Characters>31107</Characters>
  <Application>Microsoft Office Word</Application>
  <DocSecurity>0</DocSecurity>
  <Lines>259</Lines>
  <Paragraphs>72</Paragraphs>
  <ScaleCrop>false</ScaleCrop>
  <Manager/>
  <Company/>
  <LinksUpToDate>false</LinksUpToDate>
  <CharactersWithSpaces>36492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van den Borne | Leergeld Veldhoven &amp; De Kempen</dc:creator>
  <cp:keywords/>
  <dc:description/>
  <cp:lastModifiedBy>Loes van den Borne | Leergeld Veldhoven &amp; De Kempen</cp:lastModifiedBy>
  <cp:revision>4</cp:revision>
  <dcterms:created xsi:type="dcterms:W3CDTF">2026-09-09T08:48:00Z</dcterms:created>
  <dcterms:modified xsi:type="dcterms:W3CDTF">2026-09-09T08:50:00Z</dcterms:modified>
  <cp:category/>
</cp:coreProperties>
</file>