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5FBD56" w14:textId="77777777" w:rsidR="009A0710" w:rsidRDefault="009A0710">
      <w:pPr>
        <w:jc w:val="left"/>
      </w:pPr>
    </w:p>
    <w:p w14:paraId="14EF3C59" w14:textId="77777777" w:rsidR="009A0710" w:rsidRDefault="009A0710"/>
    <w:p w14:paraId="38EAED56" w14:textId="77777777" w:rsidR="009A0710" w:rsidRDefault="009A0710"/>
    <w:p w14:paraId="279FCF44" w14:textId="77777777" w:rsidR="009A0710" w:rsidRDefault="009A0710"/>
    <w:p w14:paraId="38DF2112" w14:textId="77777777" w:rsidR="009A0710" w:rsidRDefault="00000000" w:rsidP="002C2BAB">
      <w:pPr>
        <w:ind w:left="2880"/>
        <w:rPr>
          <w:color w:val="00C340"/>
          <w:sz w:val="72"/>
          <w:szCs w:val="72"/>
        </w:rPr>
      </w:pPr>
      <w:r>
        <w:rPr>
          <w:noProof/>
        </w:rPr>
        <w:drawing>
          <wp:inline distT="19050" distB="19050" distL="19050" distR="19050" wp14:anchorId="4D554068" wp14:editId="5A94C460">
            <wp:extent cx="2147888" cy="612574"/>
            <wp:effectExtent l="0" t="0" r="0" b="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l="-3097" r="3097"/>
                    <a:stretch>
                      <a:fillRect/>
                    </a:stretch>
                  </pic:blipFill>
                  <pic:spPr>
                    <a:xfrm>
                      <a:off x="0" y="0"/>
                      <a:ext cx="2147888" cy="612574"/>
                    </a:xfrm>
                    <a:prstGeom prst="rect">
                      <a:avLst/>
                    </a:prstGeom>
                    <a:ln/>
                  </pic:spPr>
                </pic:pic>
              </a:graphicData>
            </a:graphic>
          </wp:inline>
        </w:drawing>
      </w:r>
      <w:bookmarkStart w:id="0" w:name="_heading=h.jttnfw87uak" w:colFirst="0" w:colLast="0"/>
      <w:bookmarkEnd w:id="0"/>
    </w:p>
    <w:p w14:paraId="6304804F" w14:textId="77777777" w:rsidR="009A0710" w:rsidRDefault="00000000" w:rsidP="00250139">
      <w:pPr>
        <w:jc w:val="center"/>
        <w:rPr>
          <w:color w:val="00C340"/>
          <w:sz w:val="122"/>
          <w:szCs w:val="122"/>
        </w:rPr>
      </w:pPr>
      <w:r>
        <w:rPr>
          <w:color w:val="00C340"/>
          <w:sz w:val="52"/>
          <w:szCs w:val="52"/>
        </w:rPr>
        <w:t>Integrated Platform for the Provision of Health and Social Care in the Community</w:t>
      </w:r>
    </w:p>
    <w:p w14:paraId="3EBB4F8F" w14:textId="77777777" w:rsidR="009A0710" w:rsidRDefault="009A0710">
      <w:pPr>
        <w:ind w:left="1440"/>
        <w:jc w:val="left"/>
        <w:rPr>
          <w:color w:val="00C340"/>
          <w:sz w:val="94"/>
          <w:szCs w:val="94"/>
        </w:rPr>
      </w:pPr>
    </w:p>
    <w:p w14:paraId="32E7FA44" w14:textId="6ADE4E95" w:rsidR="009A0710" w:rsidRPr="002C2BAB" w:rsidRDefault="00000000">
      <w:pPr>
        <w:pStyle w:val="Title"/>
        <w:jc w:val="center"/>
        <w:rPr>
          <w:b/>
          <w:bCs/>
          <w:sz w:val="30"/>
          <w:szCs w:val="30"/>
        </w:rPr>
      </w:pPr>
      <w:bookmarkStart w:id="1" w:name="_heading=h.nsv37msgmyll" w:colFirst="0" w:colLast="0"/>
      <w:bookmarkEnd w:id="1"/>
      <w:r w:rsidRPr="002C2BAB">
        <w:rPr>
          <w:b/>
          <w:bCs/>
          <w:sz w:val="30"/>
          <w:szCs w:val="30"/>
        </w:rPr>
        <w:t>Sta</w:t>
      </w:r>
      <w:r w:rsidR="002C2BAB">
        <w:rPr>
          <w:b/>
          <w:bCs/>
          <w:sz w:val="30"/>
          <w:szCs w:val="30"/>
        </w:rPr>
        <w:t xml:space="preserve">te </w:t>
      </w:r>
      <w:r w:rsidRPr="002C2BAB">
        <w:rPr>
          <w:b/>
          <w:bCs/>
          <w:sz w:val="30"/>
          <w:szCs w:val="30"/>
        </w:rPr>
        <w:t>of the Art (</w:t>
      </w:r>
      <w:proofErr w:type="spellStart"/>
      <w:r w:rsidRPr="002C2BAB">
        <w:rPr>
          <w:b/>
          <w:bCs/>
          <w:sz w:val="30"/>
          <w:szCs w:val="30"/>
        </w:rPr>
        <w:t>SoTA</w:t>
      </w:r>
      <w:proofErr w:type="spellEnd"/>
      <w:r w:rsidRPr="002C2BAB">
        <w:rPr>
          <w:b/>
          <w:bCs/>
          <w:sz w:val="30"/>
          <w:szCs w:val="30"/>
        </w:rPr>
        <w:t>) Analysis</w:t>
      </w:r>
    </w:p>
    <w:p w14:paraId="716282D1" w14:textId="77777777" w:rsidR="009A0710" w:rsidRDefault="00000000">
      <w:r>
        <w:t xml:space="preserve"> </w:t>
      </w:r>
    </w:p>
    <w:tbl>
      <w:tblPr>
        <w:tblStyle w:val="afe"/>
        <w:tblW w:w="904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049"/>
      </w:tblGrid>
      <w:tr w:rsidR="009A0710" w14:paraId="49E95F7F" w14:textId="77777777">
        <w:trPr>
          <w:trHeight w:val="300"/>
        </w:trPr>
        <w:tc>
          <w:tcPr>
            <w:tcW w:w="9049" w:type="dxa"/>
            <w:tcBorders>
              <w:top w:val="single" w:sz="18" w:space="0" w:color="193966"/>
              <w:left w:val="single" w:sz="18" w:space="0" w:color="193966"/>
              <w:bottom w:val="single" w:sz="18" w:space="0" w:color="193966"/>
              <w:right w:val="single" w:sz="18" w:space="0" w:color="193966"/>
            </w:tcBorders>
            <w:shd w:val="clear" w:color="auto" w:fill="FFFFFF"/>
            <w:tcMar>
              <w:top w:w="0" w:type="dxa"/>
              <w:left w:w="0" w:type="dxa"/>
              <w:bottom w:w="0" w:type="dxa"/>
              <w:right w:w="0" w:type="dxa"/>
            </w:tcMar>
          </w:tcPr>
          <w:p w14:paraId="6B4179C5" w14:textId="5B330927" w:rsidR="009A0710" w:rsidRPr="00250139" w:rsidRDefault="00000000" w:rsidP="002C2BAB">
            <w:pPr>
              <w:jc w:val="center"/>
              <w:rPr>
                <w:b/>
                <w:bCs/>
              </w:rPr>
            </w:pPr>
            <w:r w:rsidRPr="00250139">
              <w:rPr>
                <w:b/>
                <w:bCs/>
              </w:rPr>
              <w:t>Partners involved</w:t>
            </w:r>
            <w:r w:rsidR="00250139">
              <w:rPr>
                <w:b/>
                <w:bCs/>
              </w:rPr>
              <w:t xml:space="preserve"> and Scope</w:t>
            </w:r>
          </w:p>
        </w:tc>
      </w:tr>
      <w:tr w:rsidR="009A0710" w14:paraId="2744EAB6" w14:textId="77777777">
        <w:trPr>
          <w:trHeight w:val="855"/>
        </w:trPr>
        <w:tc>
          <w:tcPr>
            <w:tcW w:w="9049" w:type="dxa"/>
            <w:tcBorders>
              <w:left w:val="single" w:sz="18" w:space="0" w:color="193966"/>
              <w:bottom w:val="single" w:sz="18" w:space="0" w:color="193966"/>
              <w:right w:val="single" w:sz="18" w:space="0" w:color="193966"/>
            </w:tcBorders>
            <w:tcMar>
              <w:top w:w="0" w:type="dxa"/>
              <w:left w:w="0" w:type="dxa"/>
              <w:bottom w:w="0" w:type="dxa"/>
              <w:right w:w="0" w:type="dxa"/>
            </w:tcMar>
          </w:tcPr>
          <w:p w14:paraId="4CCAFECF" w14:textId="77777777" w:rsidR="009A0710" w:rsidRDefault="00000000">
            <w:r>
              <w:t xml:space="preserve"> </w:t>
            </w:r>
          </w:p>
          <w:p w14:paraId="50F66232" w14:textId="77777777" w:rsidR="00250139" w:rsidRDefault="00250139" w:rsidP="00250139">
            <w:pPr>
              <w:spacing w:line="240" w:lineRule="auto"/>
              <w:jc w:val="left"/>
            </w:pPr>
            <w:r>
              <w:t>Contributions from a</w:t>
            </w:r>
            <w:r w:rsidR="00000000">
              <w:t>ll consortia partners</w:t>
            </w:r>
            <w:r>
              <w:t xml:space="preserve">. </w:t>
            </w:r>
            <w:r w:rsidR="002C2BAB">
              <w:t>F</w:t>
            </w:r>
            <w:r w:rsidR="00000000">
              <w:t>or details, see the CHS-Care partner list</w:t>
            </w:r>
            <w:r>
              <w:t xml:space="preserve"> and website.</w:t>
            </w:r>
          </w:p>
          <w:p w14:paraId="273A0CE6" w14:textId="1766772B" w:rsidR="009A0710" w:rsidRDefault="00250139" w:rsidP="00250139">
            <w:pPr>
              <w:spacing w:line="240" w:lineRule="auto"/>
              <w:jc w:val="left"/>
            </w:pPr>
            <w:r>
              <w:br/>
              <w:t>This is a live document that is continuously updated by partners throughout the duration of the project.</w:t>
            </w:r>
          </w:p>
          <w:p w14:paraId="229E202C" w14:textId="06A53A25" w:rsidR="00250139" w:rsidRDefault="00250139" w:rsidP="00250139">
            <w:pPr>
              <w:spacing w:line="240" w:lineRule="auto"/>
              <w:jc w:val="left"/>
            </w:pPr>
            <w:r>
              <w:t>Version 1, Published September 2026.</w:t>
            </w:r>
          </w:p>
        </w:tc>
      </w:tr>
    </w:tbl>
    <w:p w14:paraId="19ED20D6" w14:textId="77777777" w:rsidR="009A0710" w:rsidRDefault="00000000">
      <w:r>
        <w:t xml:space="preserve"> </w:t>
      </w:r>
    </w:p>
    <w:p w14:paraId="7FC1781B" w14:textId="77777777" w:rsidR="002C2BAB" w:rsidRDefault="002C2BAB"/>
    <w:tbl>
      <w:tblPr>
        <w:tblStyle w:val="aff"/>
        <w:tblW w:w="904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03"/>
        <w:gridCol w:w="6446"/>
      </w:tblGrid>
      <w:tr w:rsidR="009A0710" w14:paraId="61CC9A58" w14:textId="77777777">
        <w:trPr>
          <w:trHeight w:val="285"/>
        </w:trPr>
        <w:tc>
          <w:tcPr>
            <w:tcW w:w="9049" w:type="dxa"/>
            <w:gridSpan w:val="2"/>
            <w:tcBorders>
              <w:top w:val="single" w:sz="18" w:space="0" w:color="193966"/>
              <w:left w:val="single" w:sz="18" w:space="0" w:color="193966"/>
              <w:bottom w:val="single" w:sz="18" w:space="0" w:color="193966"/>
              <w:right w:val="single" w:sz="18" w:space="0" w:color="193966"/>
            </w:tcBorders>
            <w:shd w:val="clear" w:color="auto" w:fill="FFFFFF"/>
            <w:tcMar>
              <w:top w:w="0" w:type="dxa"/>
              <w:left w:w="0" w:type="dxa"/>
              <w:bottom w:w="0" w:type="dxa"/>
              <w:right w:w="0" w:type="dxa"/>
            </w:tcMar>
          </w:tcPr>
          <w:p w14:paraId="6BC0E2E0" w14:textId="77777777" w:rsidR="009A0710" w:rsidRDefault="00000000">
            <w:pPr>
              <w:rPr>
                <w:b/>
                <w:bCs/>
              </w:rPr>
            </w:pPr>
            <w:r>
              <w:rPr>
                <w:b/>
                <w:bCs/>
              </w:rPr>
              <w:lastRenderedPageBreak/>
              <w:t>List of acronyms</w:t>
            </w:r>
          </w:p>
        </w:tc>
      </w:tr>
      <w:tr w:rsidR="009A0710" w14:paraId="77EA90BE" w14:textId="77777777" w:rsidTr="00250139">
        <w:trPr>
          <w:trHeight w:val="285"/>
        </w:trPr>
        <w:tc>
          <w:tcPr>
            <w:tcW w:w="2603" w:type="dxa"/>
            <w:tcBorders>
              <w:left w:val="single" w:sz="18" w:space="0" w:color="193966"/>
              <w:bottom w:val="single" w:sz="18" w:space="0" w:color="193966"/>
              <w:right w:val="single" w:sz="18" w:space="0" w:color="193966"/>
            </w:tcBorders>
            <w:shd w:val="clear" w:color="auto" w:fill="FFFFFF"/>
            <w:tcMar>
              <w:top w:w="0" w:type="dxa"/>
              <w:left w:w="0" w:type="dxa"/>
              <w:bottom w:w="0" w:type="dxa"/>
              <w:right w:w="0" w:type="dxa"/>
            </w:tcMar>
          </w:tcPr>
          <w:p w14:paraId="0149FC43" w14:textId="77777777" w:rsidR="009A0710" w:rsidRDefault="00000000">
            <w:r>
              <w:t>Acronym</w:t>
            </w:r>
          </w:p>
        </w:tc>
        <w:tc>
          <w:tcPr>
            <w:tcW w:w="6446" w:type="dxa"/>
            <w:tcBorders>
              <w:bottom w:val="single" w:sz="18" w:space="0" w:color="193966"/>
              <w:right w:val="single" w:sz="18" w:space="0" w:color="193966"/>
            </w:tcBorders>
            <w:shd w:val="clear" w:color="auto" w:fill="FFFFFF"/>
            <w:tcMar>
              <w:top w:w="0" w:type="dxa"/>
              <w:left w:w="0" w:type="dxa"/>
              <w:bottom w:w="0" w:type="dxa"/>
              <w:right w:w="0" w:type="dxa"/>
            </w:tcMar>
          </w:tcPr>
          <w:p w14:paraId="0E5F4519" w14:textId="77777777" w:rsidR="009A0710" w:rsidRDefault="00000000">
            <w:r>
              <w:t>Definition</w:t>
            </w:r>
          </w:p>
        </w:tc>
      </w:tr>
      <w:tr w:rsidR="009A0710" w14:paraId="6B17974E" w14:textId="77777777" w:rsidTr="00250139">
        <w:trPr>
          <w:trHeight w:val="375"/>
        </w:trPr>
        <w:tc>
          <w:tcPr>
            <w:tcW w:w="2603" w:type="dxa"/>
            <w:tcBorders>
              <w:top w:val="single" w:sz="18" w:space="0" w:color="193966"/>
              <w:left w:val="single" w:sz="18" w:space="0" w:color="193966"/>
              <w:bottom w:val="single" w:sz="4" w:space="0" w:color="auto"/>
              <w:right w:val="single" w:sz="18" w:space="0" w:color="193966"/>
            </w:tcBorders>
            <w:tcMar>
              <w:top w:w="0" w:type="dxa"/>
              <w:left w:w="0" w:type="dxa"/>
              <w:bottom w:w="0" w:type="dxa"/>
              <w:right w:w="0" w:type="dxa"/>
            </w:tcMar>
          </w:tcPr>
          <w:p w14:paraId="7CBFCB5C" w14:textId="77777777" w:rsidR="009A0710" w:rsidRDefault="00000000">
            <w:r>
              <w:t>AI</w:t>
            </w:r>
          </w:p>
        </w:tc>
        <w:tc>
          <w:tcPr>
            <w:tcW w:w="6446" w:type="dxa"/>
            <w:tcBorders>
              <w:bottom w:val="single" w:sz="18" w:space="0" w:color="193966"/>
              <w:right w:val="single" w:sz="18" w:space="0" w:color="193966"/>
            </w:tcBorders>
            <w:tcMar>
              <w:top w:w="0" w:type="dxa"/>
              <w:left w:w="0" w:type="dxa"/>
              <w:bottom w:w="0" w:type="dxa"/>
              <w:right w:w="0" w:type="dxa"/>
            </w:tcMar>
          </w:tcPr>
          <w:p w14:paraId="64E97418" w14:textId="77777777" w:rsidR="009A0710" w:rsidRDefault="00000000">
            <w:r>
              <w:t>Artificial Intelligence</w:t>
            </w:r>
          </w:p>
        </w:tc>
      </w:tr>
      <w:tr w:rsidR="009A0710" w14:paraId="481B066C" w14:textId="77777777" w:rsidTr="00250139">
        <w:trPr>
          <w:trHeight w:val="375"/>
        </w:trPr>
        <w:tc>
          <w:tcPr>
            <w:tcW w:w="2603" w:type="dxa"/>
            <w:tcBorders>
              <w:top w:val="single" w:sz="4" w:space="0" w:color="auto"/>
              <w:left w:val="single" w:sz="18" w:space="0" w:color="193966"/>
              <w:bottom w:val="single" w:sz="18" w:space="0" w:color="193966"/>
              <w:right w:val="single" w:sz="18" w:space="0" w:color="193966"/>
            </w:tcBorders>
            <w:tcMar>
              <w:top w:w="0" w:type="dxa"/>
              <w:left w:w="0" w:type="dxa"/>
              <w:bottom w:w="0" w:type="dxa"/>
              <w:right w:w="0" w:type="dxa"/>
            </w:tcMar>
          </w:tcPr>
          <w:p w14:paraId="03147C55" w14:textId="77777777" w:rsidR="009A0710" w:rsidRDefault="00000000">
            <w:r>
              <w:t>CHS</w:t>
            </w:r>
          </w:p>
        </w:tc>
        <w:tc>
          <w:tcPr>
            <w:tcW w:w="6446" w:type="dxa"/>
            <w:tcBorders>
              <w:bottom w:val="single" w:sz="18" w:space="0" w:color="193966"/>
              <w:right w:val="single" w:sz="18" w:space="0" w:color="193966"/>
            </w:tcBorders>
            <w:tcMar>
              <w:top w:w="0" w:type="dxa"/>
              <w:left w:w="0" w:type="dxa"/>
              <w:bottom w:w="0" w:type="dxa"/>
              <w:right w:w="0" w:type="dxa"/>
            </w:tcMar>
          </w:tcPr>
          <w:p w14:paraId="43F2790F" w14:textId="77777777" w:rsidR="009A0710" w:rsidRDefault="00000000">
            <w:r>
              <w:t>Community Health and Social care</w:t>
            </w:r>
          </w:p>
        </w:tc>
      </w:tr>
      <w:tr w:rsidR="009A0710" w14:paraId="05006A31"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4FD24323" w14:textId="77777777" w:rsidR="009A0710" w:rsidRDefault="00000000">
            <w:r>
              <w:t>GDPR</w:t>
            </w:r>
          </w:p>
        </w:tc>
        <w:tc>
          <w:tcPr>
            <w:tcW w:w="6446" w:type="dxa"/>
            <w:tcBorders>
              <w:bottom w:val="single" w:sz="18" w:space="0" w:color="193966"/>
              <w:right w:val="single" w:sz="18" w:space="0" w:color="193966"/>
            </w:tcBorders>
            <w:tcMar>
              <w:top w:w="0" w:type="dxa"/>
              <w:left w:w="0" w:type="dxa"/>
              <w:bottom w:w="0" w:type="dxa"/>
              <w:right w:w="0" w:type="dxa"/>
            </w:tcMar>
          </w:tcPr>
          <w:p w14:paraId="506670C1" w14:textId="77777777" w:rsidR="009A0710" w:rsidRDefault="00000000">
            <w:r>
              <w:t>General Data Protection Regulation</w:t>
            </w:r>
          </w:p>
        </w:tc>
      </w:tr>
      <w:tr w:rsidR="009A0710" w14:paraId="6DA4F987"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7BF6979D" w14:textId="77777777" w:rsidR="009A0710" w:rsidRDefault="00000000">
            <w:r>
              <w:t>IoT</w:t>
            </w:r>
          </w:p>
        </w:tc>
        <w:tc>
          <w:tcPr>
            <w:tcW w:w="6446" w:type="dxa"/>
            <w:tcBorders>
              <w:bottom w:val="single" w:sz="18" w:space="0" w:color="193966"/>
              <w:right w:val="single" w:sz="18" w:space="0" w:color="193966"/>
            </w:tcBorders>
            <w:tcMar>
              <w:top w:w="0" w:type="dxa"/>
              <w:left w:w="0" w:type="dxa"/>
              <w:bottom w:w="0" w:type="dxa"/>
              <w:right w:w="0" w:type="dxa"/>
            </w:tcMar>
          </w:tcPr>
          <w:p w14:paraId="3E235C9E" w14:textId="77777777" w:rsidR="009A0710" w:rsidRDefault="00000000">
            <w:r>
              <w:t>Internet of Things</w:t>
            </w:r>
          </w:p>
        </w:tc>
      </w:tr>
      <w:tr w:rsidR="009A0710" w14:paraId="44C4B4A4"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6D05B1F7" w14:textId="77777777" w:rsidR="009A0710" w:rsidRDefault="00000000">
            <w:r>
              <w:t>ECG</w:t>
            </w:r>
          </w:p>
        </w:tc>
        <w:tc>
          <w:tcPr>
            <w:tcW w:w="6446" w:type="dxa"/>
            <w:tcBorders>
              <w:bottom w:val="single" w:sz="18" w:space="0" w:color="193966"/>
              <w:right w:val="single" w:sz="18" w:space="0" w:color="193966"/>
            </w:tcBorders>
            <w:tcMar>
              <w:top w:w="0" w:type="dxa"/>
              <w:left w:w="0" w:type="dxa"/>
              <w:bottom w:w="0" w:type="dxa"/>
              <w:right w:w="0" w:type="dxa"/>
            </w:tcMar>
          </w:tcPr>
          <w:p w14:paraId="0E894FBD" w14:textId="77777777" w:rsidR="009A0710" w:rsidRDefault="00000000">
            <w:r>
              <w:t>Electrocardiogram</w:t>
            </w:r>
          </w:p>
        </w:tc>
      </w:tr>
      <w:tr w:rsidR="009A0710" w14:paraId="549E651E"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4952CD25" w14:textId="77777777" w:rsidR="009A0710" w:rsidRDefault="00000000">
            <w:r>
              <w:t>PERS</w:t>
            </w:r>
          </w:p>
        </w:tc>
        <w:tc>
          <w:tcPr>
            <w:tcW w:w="6446" w:type="dxa"/>
            <w:tcBorders>
              <w:bottom w:val="single" w:sz="18" w:space="0" w:color="193966"/>
              <w:right w:val="single" w:sz="18" w:space="0" w:color="193966"/>
            </w:tcBorders>
            <w:tcMar>
              <w:top w:w="0" w:type="dxa"/>
              <w:left w:w="0" w:type="dxa"/>
              <w:bottom w:w="0" w:type="dxa"/>
              <w:right w:w="0" w:type="dxa"/>
            </w:tcMar>
          </w:tcPr>
          <w:p w14:paraId="0894EEEB" w14:textId="77777777" w:rsidR="009A0710" w:rsidRDefault="00000000">
            <w:r>
              <w:t>Personal Emergency Response Systems</w:t>
            </w:r>
          </w:p>
        </w:tc>
      </w:tr>
      <w:tr w:rsidR="009A0710" w14:paraId="73C78365"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5B9A0F22" w14:textId="77777777" w:rsidR="009A0710" w:rsidRDefault="00000000">
            <w:r>
              <w:t>API</w:t>
            </w:r>
          </w:p>
        </w:tc>
        <w:tc>
          <w:tcPr>
            <w:tcW w:w="6446" w:type="dxa"/>
            <w:tcBorders>
              <w:bottom w:val="single" w:sz="18" w:space="0" w:color="193966"/>
              <w:right w:val="single" w:sz="18" w:space="0" w:color="193966"/>
            </w:tcBorders>
            <w:tcMar>
              <w:top w:w="0" w:type="dxa"/>
              <w:left w:w="0" w:type="dxa"/>
              <w:bottom w:w="0" w:type="dxa"/>
              <w:right w:w="0" w:type="dxa"/>
            </w:tcMar>
          </w:tcPr>
          <w:p w14:paraId="40436005" w14:textId="77777777" w:rsidR="009A0710" w:rsidRDefault="00000000">
            <w:r>
              <w:t>Application Programming Interface</w:t>
            </w:r>
          </w:p>
        </w:tc>
      </w:tr>
      <w:tr w:rsidR="009A0710" w14:paraId="4256963E"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4808A2E4" w14:textId="77777777" w:rsidR="009A0710" w:rsidRDefault="00000000">
            <w:r>
              <w:t>SDK</w:t>
            </w:r>
          </w:p>
        </w:tc>
        <w:tc>
          <w:tcPr>
            <w:tcW w:w="6446" w:type="dxa"/>
            <w:tcBorders>
              <w:bottom w:val="single" w:sz="18" w:space="0" w:color="193966"/>
              <w:right w:val="single" w:sz="18" w:space="0" w:color="193966"/>
            </w:tcBorders>
            <w:tcMar>
              <w:top w:w="0" w:type="dxa"/>
              <w:left w:w="0" w:type="dxa"/>
              <w:bottom w:w="0" w:type="dxa"/>
              <w:right w:w="0" w:type="dxa"/>
            </w:tcMar>
          </w:tcPr>
          <w:p w14:paraId="0E5DDF92" w14:textId="77777777" w:rsidR="009A0710" w:rsidRDefault="00000000">
            <w:r>
              <w:t>Software Development Kit</w:t>
            </w:r>
          </w:p>
        </w:tc>
      </w:tr>
      <w:tr w:rsidR="009A0710" w14:paraId="21F7FDBC"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0ECE96D4" w14:textId="77777777" w:rsidR="009A0710" w:rsidRDefault="00000000">
            <w:r>
              <w:t>SaaS</w:t>
            </w:r>
          </w:p>
        </w:tc>
        <w:tc>
          <w:tcPr>
            <w:tcW w:w="6446" w:type="dxa"/>
            <w:tcBorders>
              <w:bottom w:val="single" w:sz="18" w:space="0" w:color="193966"/>
              <w:right w:val="single" w:sz="18" w:space="0" w:color="193966"/>
            </w:tcBorders>
            <w:tcMar>
              <w:top w:w="0" w:type="dxa"/>
              <w:left w:w="0" w:type="dxa"/>
              <w:bottom w:w="0" w:type="dxa"/>
              <w:right w:w="0" w:type="dxa"/>
            </w:tcMar>
          </w:tcPr>
          <w:p w14:paraId="267CEF60" w14:textId="77777777" w:rsidR="009A0710" w:rsidRDefault="00000000">
            <w:r>
              <w:t>Software as a Service</w:t>
            </w:r>
          </w:p>
        </w:tc>
      </w:tr>
      <w:tr w:rsidR="009A0710" w14:paraId="3C965183"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41CDD031" w14:textId="77777777" w:rsidR="009A0710" w:rsidRDefault="00000000">
            <w:r>
              <w:t>ML</w:t>
            </w:r>
          </w:p>
        </w:tc>
        <w:tc>
          <w:tcPr>
            <w:tcW w:w="6446" w:type="dxa"/>
            <w:tcBorders>
              <w:bottom w:val="single" w:sz="18" w:space="0" w:color="193966"/>
              <w:right w:val="single" w:sz="18" w:space="0" w:color="193966"/>
            </w:tcBorders>
            <w:tcMar>
              <w:top w:w="0" w:type="dxa"/>
              <w:left w:w="0" w:type="dxa"/>
              <w:bottom w:w="0" w:type="dxa"/>
              <w:right w:w="0" w:type="dxa"/>
            </w:tcMar>
          </w:tcPr>
          <w:p w14:paraId="0FB8B8CD" w14:textId="77777777" w:rsidR="009A0710" w:rsidRDefault="00000000">
            <w:r>
              <w:t>Machine Learning</w:t>
            </w:r>
          </w:p>
        </w:tc>
      </w:tr>
      <w:tr w:rsidR="009A0710" w14:paraId="24701C33"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6DC1DB8A" w14:textId="77777777" w:rsidR="009A0710" w:rsidRDefault="00000000">
            <w:r>
              <w:t>XAI</w:t>
            </w:r>
          </w:p>
        </w:tc>
        <w:tc>
          <w:tcPr>
            <w:tcW w:w="6446" w:type="dxa"/>
            <w:tcBorders>
              <w:bottom w:val="single" w:sz="18" w:space="0" w:color="193966"/>
              <w:right w:val="single" w:sz="18" w:space="0" w:color="193966"/>
            </w:tcBorders>
            <w:tcMar>
              <w:top w:w="0" w:type="dxa"/>
              <w:left w:w="0" w:type="dxa"/>
              <w:bottom w:w="0" w:type="dxa"/>
              <w:right w:w="0" w:type="dxa"/>
            </w:tcMar>
          </w:tcPr>
          <w:p w14:paraId="41102BE1" w14:textId="77777777" w:rsidR="009A0710" w:rsidRDefault="00000000">
            <w:r>
              <w:t>Explainable Artificial Intelligence</w:t>
            </w:r>
          </w:p>
        </w:tc>
      </w:tr>
      <w:tr w:rsidR="009A0710" w14:paraId="2B38976A"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7BF6929C" w14:textId="77777777" w:rsidR="009A0710" w:rsidRDefault="00000000">
            <w:r>
              <w:t>NHS</w:t>
            </w:r>
          </w:p>
        </w:tc>
        <w:tc>
          <w:tcPr>
            <w:tcW w:w="6446" w:type="dxa"/>
            <w:tcBorders>
              <w:bottom w:val="single" w:sz="18" w:space="0" w:color="193966"/>
              <w:right w:val="single" w:sz="18" w:space="0" w:color="193966"/>
            </w:tcBorders>
            <w:tcMar>
              <w:top w:w="0" w:type="dxa"/>
              <w:left w:w="0" w:type="dxa"/>
              <w:bottom w:w="0" w:type="dxa"/>
              <w:right w:w="0" w:type="dxa"/>
            </w:tcMar>
          </w:tcPr>
          <w:p w14:paraId="3D6372D1" w14:textId="77777777" w:rsidR="009A0710" w:rsidRDefault="00000000">
            <w:r>
              <w:t>National Health Service</w:t>
            </w:r>
          </w:p>
        </w:tc>
      </w:tr>
      <w:tr w:rsidR="009A0710" w14:paraId="4C642CE4"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35158F08" w14:textId="77777777" w:rsidR="009A0710" w:rsidRDefault="00000000">
            <w:r>
              <w:t>LIME</w:t>
            </w:r>
          </w:p>
        </w:tc>
        <w:tc>
          <w:tcPr>
            <w:tcW w:w="6446" w:type="dxa"/>
            <w:tcBorders>
              <w:bottom w:val="single" w:sz="18" w:space="0" w:color="193966"/>
              <w:right w:val="single" w:sz="18" w:space="0" w:color="193966"/>
            </w:tcBorders>
            <w:tcMar>
              <w:top w:w="0" w:type="dxa"/>
              <w:left w:w="0" w:type="dxa"/>
              <w:bottom w:w="0" w:type="dxa"/>
              <w:right w:w="0" w:type="dxa"/>
            </w:tcMar>
          </w:tcPr>
          <w:p w14:paraId="171CF15D" w14:textId="77777777" w:rsidR="009A0710" w:rsidRDefault="00000000">
            <w:r>
              <w:t>Local Interpretable Model-agnostic Explanation</w:t>
            </w:r>
          </w:p>
        </w:tc>
      </w:tr>
      <w:tr w:rsidR="009A0710" w14:paraId="70A56BC8"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3A1AF1D5" w14:textId="77777777" w:rsidR="009A0710" w:rsidRDefault="00000000">
            <w:r>
              <w:t>LLM</w:t>
            </w:r>
          </w:p>
        </w:tc>
        <w:tc>
          <w:tcPr>
            <w:tcW w:w="6446" w:type="dxa"/>
            <w:tcBorders>
              <w:bottom w:val="single" w:sz="18" w:space="0" w:color="193966"/>
              <w:right w:val="single" w:sz="18" w:space="0" w:color="193966"/>
            </w:tcBorders>
            <w:tcMar>
              <w:top w:w="0" w:type="dxa"/>
              <w:left w:w="0" w:type="dxa"/>
              <w:bottom w:w="0" w:type="dxa"/>
              <w:right w:w="0" w:type="dxa"/>
            </w:tcMar>
          </w:tcPr>
          <w:p w14:paraId="36BC4B66" w14:textId="77777777" w:rsidR="009A0710" w:rsidRDefault="00000000">
            <w:r>
              <w:t>Large Language Model</w:t>
            </w:r>
          </w:p>
        </w:tc>
      </w:tr>
      <w:tr w:rsidR="009A0710" w14:paraId="5D012794"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1524CECC" w14:textId="77777777" w:rsidR="009A0710" w:rsidRDefault="00000000">
            <w:r>
              <w:t>HR</w:t>
            </w:r>
          </w:p>
        </w:tc>
        <w:tc>
          <w:tcPr>
            <w:tcW w:w="6446" w:type="dxa"/>
            <w:tcBorders>
              <w:bottom w:val="single" w:sz="18" w:space="0" w:color="193966"/>
              <w:right w:val="single" w:sz="18" w:space="0" w:color="193966"/>
            </w:tcBorders>
            <w:tcMar>
              <w:top w:w="0" w:type="dxa"/>
              <w:left w:w="0" w:type="dxa"/>
              <w:bottom w:w="0" w:type="dxa"/>
              <w:right w:w="0" w:type="dxa"/>
            </w:tcMar>
          </w:tcPr>
          <w:p w14:paraId="401E1464" w14:textId="77777777" w:rsidR="009A0710" w:rsidRDefault="00000000">
            <w:r>
              <w:t>Heart Rate</w:t>
            </w:r>
          </w:p>
        </w:tc>
      </w:tr>
      <w:tr w:rsidR="009A0710" w14:paraId="67716ABC"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10583E26" w14:textId="77777777" w:rsidR="009A0710" w:rsidRDefault="00000000">
            <w:r>
              <w:t>PIR</w:t>
            </w:r>
          </w:p>
        </w:tc>
        <w:tc>
          <w:tcPr>
            <w:tcW w:w="6446" w:type="dxa"/>
            <w:tcBorders>
              <w:bottom w:val="single" w:sz="18" w:space="0" w:color="193966"/>
              <w:right w:val="single" w:sz="18" w:space="0" w:color="193966"/>
            </w:tcBorders>
            <w:tcMar>
              <w:top w:w="0" w:type="dxa"/>
              <w:left w:w="0" w:type="dxa"/>
              <w:bottom w:w="0" w:type="dxa"/>
              <w:right w:w="0" w:type="dxa"/>
            </w:tcMar>
          </w:tcPr>
          <w:p w14:paraId="2454E211" w14:textId="77777777" w:rsidR="009A0710" w:rsidRDefault="00000000">
            <w:r>
              <w:t>Passive Infrared Sensor</w:t>
            </w:r>
          </w:p>
        </w:tc>
      </w:tr>
      <w:tr w:rsidR="009A0710" w14:paraId="120AE219"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05188FDC" w14:textId="77777777" w:rsidR="009A0710" w:rsidRDefault="00000000">
            <w:r>
              <w:t>RGB</w:t>
            </w:r>
          </w:p>
        </w:tc>
        <w:tc>
          <w:tcPr>
            <w:tcW w:w="6446" w:type="dxa"/>
            <w:tcBorders>
              <w:bottom w:val="single" w:sz="18" w:space="0" w:color="193966"/>
              <w:right w:val="single" w:sz="18" w:space="0" w:color="193966"/>
            </w:tcBorders>
            <w:tcMar>
              <w:top w:w="0" w:type="dxa"/>
              <w:left w:w="0" w:type="dxa"/>
              <w:bottom w:w="0" w:type="dxa"/>
              <w:right w:w="0" w:type="dxa"/>
            </w:tcMar>
          </w:tcPr>
          <w:p w14:paraId="1A538B12" w14:textId="77777777" w:rsidR="009A0710" w:rsidRDefault="00000000">
            <w:r>
              <w:t>Red, Green, Blue</w:t>
            </w:r>
          </w:p>
        </w:tc>
      </w:tr>
      <w:tr w:rsidR="009A0710" w14:paraId="24FA9CC6"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4690812B" w14:textId="77777777" w:rsidR="009A0710" w:rsidRDefault="00000000">
            <w:r>
              <w:t>JSON</w:t>
            </w:r>
          </w:p>
        </w:tc>
        <w:tc>
          <w:tcPr>
            <w:tcW w:w="6446" w:type="dxa"/>
            <w:tcBorders>
              <w:bottom w:val="single" w:sz="18" w:space="0" w:color="193966"/>
              <w:right w:val="single" w:sz="18" w:space="0" w:color="193966"/>
            </w:tcBorders>
            <w:tcMar>
              <w:top w:w="0" w:type="dxa"/>
              <w:left w:w="0" w:type="dxa"/>
              <w:bottom w:w="0" w:type="dxa"/>
              <w:right w:w="0" w:type="dxa"/>
            </w:tcMar>
          </w:tcPr>
          <w:p w14:paraId="30B82F48" w14:textId="77777777" w:rsidR="009A0710" w:rsidRDefault="00000000">
            <w:r>
              <w:t>JavaScript Object Notation</w:t>
            </w:r>
          </w:p>
        </w:tc>
      </w:tr>
      <w:tr w:rsidR="009A0710" w14:paraId="33E15F9D"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3D5D1393" w14:textId="77777777" w:rsidR="009A0710" w:rsidRDefault="00000000">
            <w:r>
              <w:t xml:space="preserve">LAN </w:t>
            </w:r>
          </w:p>
        </w:tc>
        <w:tc>
          <w:tcPr>
            <w:tcW w:w="6446" w:type="dxa"/>
            <w:tcBorders>
              <w:bottom w:val="single" w:sz="18" w:space="0" w:color="193966"/>
              <w:right w:val="single" w:sz="18" w:space="0" w:color="193966"/>
            </w:tcBorders>
            <w:tcMar>
              <w:top w:w="0" w:type="dxa"/>
              <w:left w:w="0" w:type="dxa"/>
              <w:bottom w:w="0" w:type="dxa"/>
              <w:right w:w="0" w:type="dxa"/>
            </w:tcMar>
          </w:tcPr>
          <w:p w14:paraId="36C4B85C" w14:textId="77777777" w:rsidR="009A0710" w:rsidRDefault="00000000">
            <w:r>
              <w:t>Local Area Network</w:t>
            </w:r>
          </w:p>
        </w:tc>
      </w:tr>
      <w:tr w:rsidR="009A0710" w14:paraId="7D1A6116"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681DDABB" w14:textId="77777777" w:rsidR="009A0710" w:rsidRDefault="00000000">
            <w:r>
              <w:t>OEM</w:t>
            </w:r>
          </w:p>
        </w:tc>
        <w:tc>
          <w:tcPr>
            <w:tcW w:w="6446" w:type="dxa"/>
            <w:tcBorders>
              <w:bottom w:val="single" w:sz="18" w:space="0" w:color="193966"/>
              <w:right w:val="single" w:sz="18" w:space="0" w:color="193966"/>
            </w:tcBorders>
            <w:tcMar>
              <w:top w:w="0" w:type="dxa"/>
              <w:left w:w="0" w:type="dxa"/>
              <w:bottom w:w="0" w:type="dxa"/>
              <w:right w:w="0" w:type="dxa"/>
            </w:tcMar>
          </w:tcPr>
          <w:p w14:paraId="5C5D29D3" w14:textId="77777777" w:rsidR="009A0710" w:rsidRDefault="00000000">
            <w:r>
              <w:t xml:space="preserve">Original Equipment Manufacturer </w:t>
            </w:r>
          </w:p>
        </w:tc>
      </w:tr>
      <w:tr w:rsidR="009A0710" w14:paraId="75EA489B"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780B763C" w14:textId="77777777" w:rsidR="009A0710" w:rsidRDefault="00000000">
            <w:r>
              <w:lastRenderedPageBreak/>
              <w:t xml:space="preserve">MQTT </w:t>
            </w:r>
          </w:p>
        </w:tc>
        <w:tc>
          <w:tcPr>
            <w:tcW w:w="6446" w:type="dxa"/>
            <w:tcBorders>
              <w:bottom w:val="single" w:sz="18" w:space="0" w:color="193966"/>
              <w:right w:val="single" w:sz="18" w:space="0" w:color="193966"/>
            </w:tcBorders>
            <w:tcMar>
              <w:top w:w="0" w:type="dxa"/>
              <w:left w:w="0" w:type="dxa"/>
              <w:bottom w:w="0" w:type="dxa"/>
              <w:right w:w="0" w:type="dxa"/>
            </w:tcMar>
          </w:tcPr>
          <w:p w14:paraId="6AC3D5B4" w14:textId="77777777" w:rsidR="009A0710" w:rsidRDefault="00000000">
            <w:r>
              <w:t>Message Queuing Telemetry Transport</w:t>
            </w:r>
          </w:p>
        </w:tc>
      </w:tr>
      <w:tr w:rsidR="009A0710" w14:paraId="6E4A4FA5"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37F069EE" w14:textId="77777777" w:rsidR="009A0710" w:rsidRDefault="00000000">
            <w:r>
              <w:t>BLE</w:t>
            </w:r>
          </w:p>
        </w:tc>
        <w:tc>
          <w:tcPr>
            <w:tcW w:w="6446" w:type="dxa"/>
            <w:tcBorders>
              <w:bottom w:val="single" w:sz="18" w:space="0" w:color="193966"/>
              <w:right w:val="single" w:sz="18" w:space="0" w:color="193966"/>
            </w:tcBorders>
            <w:tcMar>
              <w:top w:w="0" w:type="dxa"/>
              <w:left w:w="0" w:type="dxa"/>
              <w:bottom w:w="0" w:type="dxa"/>
              <w:right w:w="0" w:type="dxa"/>
            </w:tcMar>
          </w:tcPr>
          <w:p w14:paraId="1D1CA09C" w14:textId="77777777" w:rsidR="009A0710" w:rsidRDefault="00000000">
            <w:r>
              <w:t>Bluetooth Low Energy</w:t>
            </w:r>
          </w:p>
        </w:tc>
      </w:tr>
      <w:tr w:rsidR="009A0710" w14:paraId="7419CAA0"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33DE5804" w14:textId="77777777" w:rsidR="009A0710" w:rsidRDefault="00000000">
            <w:r>
              <w:t>SHAP</w:t>
            </w:r>
          </w:p>
        </w:tc>
        <w:tc>
          <w:tcPr>
            <w:tcW w:w="6446" w:type="dxa"/>
            <w:tcBorders>
              <w:bottom w:val="single" w:sz="18" w:space="0" w:color="193966"/>
              <w:right w:val="single" w:sz="18" w:space="0" w:color="193966"/>
            </w:tcBorders>
            <w:tcMar>
              <w:top w:w="0" w:type="dxa"/>
              <w:left w:w="0" w:type="dxa"/>
              <w:bottom w:w="0" w:type="dxa"/>
              <w:right w:w="0" w:type="dxa"/>
            </w:tcMar>
          </w:tcPr>
          <w:p w14:paraId="73E35AA8" w14:textId="77777777" w:rsidR="009A0710" w:rsidRDefault="00000000">
            <w:proofErr w:type="spellStart"/>
            <w:r>
              <w:t>SHapley</w:t>
            </w:r>
            <w:proofErr w:type="spellEnd"/>
            <w:r>
              <w:t xml:space="preserve"> Additive </w:t>
            </w:r>
            <w:proofErr w:type="spellStart"/>
            <w:r>
              <w:t>exPlanations</w:t>
            </w:r>
            <w:proofErr w:type="spellEnd"/>
          </w:p>
        </w:tc>
      </w:tr>
      <w:tr w:rsidR="009A0710" w14:paraId="14922FE3"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1C7F5609" w14:textId="77777777" w:rsidR="009A0710" w:rsidRDefault="00000000">
            <w:r>
              <w:t>MCI</w:t>
            </w:r>
          </w:p>
        </w:tc>
        <w:tc>
          <w:tcPr>
            <w:tcW w:w="6446" w:type="dxa"/>
            <w:tcBorders>
              <w:bottom w:val="single" w:sz="18" w:space="0" w:color="193966"/>
              <w:right w:val="single" w:sz="18" w:space="0" w:color="193966"/>
            </w:tcBorders>
            <w:tcMar>
              <w:top w:w="0" w:type="dxa"/>
              <w:left w:w="0" w:type="dxa"/>
              <w:bottom w:w="0" w:type="dxa"/>
              <w:right w:w="0" w:type="dxa"/>
            </w:tcMar>
          </w:tcPr>
          <w:p w14:paraId="5C145F20" w14:textId="77777777" w:rsidR="009A0710" w:rsidRDefault="00000000">
            <w:r>
              <w:t xml:space="preserve">Mild Cognitive Impairment </w:t>
            </w:r>
          </w:p>
        </w:tc>
      </w:tr>
      <w:tr w:rsidR="009A0710" w14:paraId="213D0200"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4743C219" w14:textId="77777777" w:rsidR="009A0710" w:rsidRDefault="00000000">
            <w:r>
              <w:t>MMSE</w:t>
            </w:r>
          </w:p>
        </w:tc>
        <w:tc>
          <w:tcPr>
            <w:tcW w:w="6446" w:type="dxa"/>
            <w:tcBorders>
              <w:bottom w:val="single" w:sz="18" w:space="0" w:color="193966"/>
              <w:right w:val="single" w:sz="18" w:space="0" w:color="193966"/>
            </w:tcBorders>
            <w:tcMar>
              <w:top w:w="0" w:type="dxa"/>
              <w:left w:w="0" w:type="dxa"/>
              <w:bottom w:w="0" w:type="dxa"/>
              <w:right w:w="0" w:type="dxa"/>
            </w:tcMar>
          </w:tcPr>
          <w:p w14:paraId="0D7A207D" w14:textId="77777777" w:rsidR="009A0710" w:rsidRDefault="00000000">
            <w:r>
              <w:t>Mini Mental State Examination</w:t>
            </w:r>
          </w:p>
        </w:tc>
      </w:tr>
      <w:tr w:rsidR="009A0710" w14:paraId="61D2FB28" w14:textId="77777777">
        <w:trPr>
          <w:trHeight w:val="375"/>
        </w:trPr>
        <w:tc>
          <w:tcPr>
            <w:tcW w:w="2603" w:type="dxa"/>
            <w:tcBorders>
              <w:left w:val="single" w:sz="18" w:space="0" w:color="193966"/>
              <w:bottom w:val="single" w:sz="18" w:space="0" w:color="193966"/>
              <w:right w:val="single" w:sz="18" w:space="0" w:color="193966"/>
            </w:tcBorders>
            <w:tcMar>
              <w:top w:w="0" w:type="dxa"/>
              <w:left w:w="0" w:type="dxa"/>
              <w:bottom w:w="0" w:type="dxa"/>
              <w:right w:w="0" w:type="dxa"/>
            </w:tcMar>
          </w:tcPr>
          <w:p w14:paraId="3C828262" w14:textId="77777777" w:rsidR="009A0710" w:rsidRDefault="00000000">
            <w:r>
              <w:t>ECG</w:t>
            </w:r>
          </w:p>
        </w:tc>
        <w:tc>
          <w:tcPr>
            <w:tcW w:w="6446" w:type="dxa"/>
            <w:tcBorders>
              <w:bottom w:val="single" w:sz="18" w:space="0" w:color="193966"/>
              <w:right w:val="single" w:sz="18" w:space="0" w:color="193966"/>
            </w:tcBorders>
            <w:tcMar>
              <w:top w:w="0" w:type="dxa"/>
              <w:left w:w="0" w:type="dxa"/>
              <w:bottom w:w="0" w:type="dxa"/>
              <w:right w:w="0" w:type="dxa"/>
            </w:tcMar>
          </w:tcPr>
          <w:p w14:paraId="75D0AEE8" w14:textId="77777777" w:rsidR="009A0710" w:rsidRDefault="00000000">
            <w:r>
              <w:t>Electrocardiogram</w:t>
            </w:r>
          </w:p>
        </w:tc>
      </w:tr>
    </w:tbl>
    <w:p w14:paraId="75FA178D" w14:textId="77777777" w:rsidR="009A0710" w:rsidRDefault="009A0710">
      <w:bookmarkStart w:id="2" w:name="_heading=h.o8fulrfo2fp6" w:colFirst="0" w:colLast="0"/>
      <w:bookmarkEnd w:id="2"/>
    </w:p>
    <w:p w14:paraId="16667D41" w14:textId="77777777" w:rsidR="009A0710" w:rsidRDefault="00000000">
      <w:pPr>
        <w:rPr>
          <w:color w:val="434343"/>
        </w:rPr>
      </w:pPr>
      <w:r>
        <w:br w:type="page"/>
      </w:r>
    </w:p>
    <w:p w14:paraId="74DFD1FE" w14:textId="77777777" w:rsidR="009A0710" w:rsidRDefault="00000000">
      <w:pPr>
        <w:pStyle w:val="Heading1"/>
        <w:ind w:left="0"/>
      </w:pPr>
      <w:bookmarkStart w:id="3" w:name="_Toc241485636"/>
      <w:r>
        <w:lastRenderedPageBreak/>
        <w:t>Table of Contents</w:t>
      </w:r>
      <w:bookmarkEnd w:id="3"/>
    </w:p>
    <w:sdt>
      <w:sdtPr>
        <w:id w:val="392555454"/>
        <w:docPartObj>
          <w:docPartGallery w:val="Table of Contents"/>
          <w:docPartUnique/>
        </w:docPartObj>
      </w:sdtPr>
      <w:sdtContent>
        <w:p w14:paraId="6E4EE2BD" w14:textId="33994DC7" w:rsidR="00250139" w:rsidRDefault="00000000">
          <w:pPr>
            <w:pStyle w:val="TOC1"/>
            <w:tabs>
              <w:tab w:val="right" w:pos="9040"/>
            </w:tabs>
            <w:rPr>
              <w:rFonts w:asciiTheme="minorHAnsi" w:eastAsiaTheme="minorEastAsia" w:hAnsiTheme="minorHAnsi" w:cstheme="minorBidi"/>
              <w:noProof/>
              <w:kern w:val="2"/>
              <w:sz w:val="24"/>
              <w:szCs w:val="24"/>
              <w14:ligatures w14:val="standardContextual"/>
            </w:rPr>
          </w:pPr>
          <w:r>
            <w:fldChar w:fldCharType="begin"/>
          </w:r>
          <w:r>
            <w:instrText xml:space="preserve"> TOC \h \u \z \t "Heading 1,1,Heading 2,2,Heading 5,5,Heading 6,6,"</w:instrText>
          </w:r>
          <w:r>
            <w:fldChar w:fldCharType="separate"/>
          </w:r>
          <w:hyperlink w:anchor="_Toc241485636" w:history="1">
            <w:r w:rsidR="00250139" w:rsidRPr="00773845">
              <w:rPr>
                <w:rStyle w:val="Hyperlink"/>
                <w:noProof/>
              </w:rPr>
              <w:t>Table of Contents</w:t>
            </w:r>
            <w:r w:rsidR="00250139">
              <w:rPr>
                <w:noProof/>
                <w:webHidden/>
              </w:rPr>
              <w:tab/>
            </w:r>
            <w:r w:rsidR="00250139">
              <w:rPr>
                <w:noProof/>
                <w:webHidden/>
              </w:rPr>
              <w:fldChar w:fldCharType="begin"/>
            </w:r>
            <w:r w:rsidR="00250139">
              <w:rPr>
                <w:noProof/>
                <w:webHidden/>
              </w:rPr>
              <w:instrText xml:space="preserve"> PAGEREF _Toc241485636 \h </w:instrText>
            </w:r>
            <w:r w:rsidR="00250139">
              <w:rPr>
                <w:noProof/>
                <w:webHidden/>
              </w:rPr>
            </w:r>
            <w:r w:rsidR="00250139">
              <w:rPr>
                <w:noProof/>
                <w:webHidden/>
              </w:rPr>
              <w:fldChar w:fldCharType="separate"/>
            </w:r>
            <w:r w:rsidR="00250139">
              <w:rPr>
                <w:noProof/>
                <w:webHidden/>
              </w:rPr>
              <w:t>4</w:t>
            </w:r>
            <w:r w:rsidR="00250139">
              <w:rPr>
                <w:noProof/>
                <w:webHidden/>
              </w:rPr>
              <w:fldChar w:fldCharType="end"/>
            </w:r>
          </w:hyperlink>
        </w:p>
        <w:p w14:paraId="635D4F57" w14:textId="0826705D" w:rsidR="00250139" w:rsidRDefault="00250139">
          <w:pPr>
            <w:pStyle w:val="TOC1"/>
            <w:tabs>
              <w:tab w:val="right" w:pos="9040"/>
            </w:tabs>
            <w:rPr>
              <w:rFonts w:asciiTheme="minorHAnsi" w:eastAsiaTheme="minorEastAsia" w:hAnsiTheme="minorHAnsi" w:cstheme="minorBidi"/>
              <w:noProof/>
              <w:kern w:val="2"/>
              <w:sz w:val="24"/>
              <w:szCs w:val="24"/>
              <w14:ligatures w14:val="standardContextual"/>
            </w:rPr>
          </w:pPr>
          <w:hyperlink w:anchor="_Toc241485637" w:history="1">
            <w:r w:rsidRPr="00773845">
              <w:rPr>
                <w:rStyle w:val="Hyperlink"/>
                <w:noProof/>
              </w:rPr>
              <w:t>1. Executive Summary</w:t>
            </w:r>
            <w:r>
              <w:rPr>
                <w:noProof/>
                <w:webHidden/>
              </w:rPr>
              <w:tab/>
            </w:r>
            <w:r>
              <w:rPr>
                <w:noProof/>
                <w:webHidden/>
              </w:rPr>
              <w:fldChar w:fldCharType="begin"/>
            </w:r>
            <w:r>
              <w:rPr>
                <w:noProof/>
                <w:webHidden/>
              </w:rPr>
              <w:instrText xml:space="preserve"> PAGEREF _Toc241485637 \h </w:instrText>
            </w:r>
            <w:r>
              <w:rPr>
                <w:noProof/>
                <w:webHidden/>
              </w:rPr>
            </w:r>
            <w:r>
              <w:rPr>
                <w:noProof/>
                <w:webHidden/>
              </w:rPr>
              <w:fldChar w:fldCharType="separate"/>
            </w:r>
            <w:r>
              <w:rPr>
                <w:noProof/>
                <w:webHidden/>
              </w:rPr>
              <w:t>5</w:t>
            </w:r>
            <w:r>
              <w:rPr>
                <w:noProof/>
                <w:webHidden/>
              </w:rPr>
              <w:fldChar w:fldCharType="end"/>
            </w:r>
          </w:hyperlink>
        </w:p>
        <w:p w14:paraId="0DB99EFD" w14:textId="649D7F6A" w:rsidR="00250139" w:rsidRDefault="00250139">
          <w:pPr>
            <w:pStyle w:val="TOC1"/>
            <w:tabs>
              <w:tab w:val="right" w:pos="9040"/>
            </w:tabs>
            <w:rPr>
              <w:rFonts w:asciiTheme="minorHAnsi" w:eastAsiaTheme="minorEastAsia" w:hAnsiTheme="minorHAnsi" w:cstheme="minorBidi"/>
              <w:noProof/>
              <w:kern w:val="2"/>
              <w:sz w:val="24"/>
              <w:szCs w:val="24"/>
              <w14:ligatures w14:val="standardContextual"/>
            </w:rPr>
          </w:pPr>
          <w:hyperlink w:anchor="_Toc241485638" w:history="1">
            <w:r w:rsidRPr="00773845">
              <w:rPr>
                <w:rStyle w:val="Hyperlink"/>
                <w:noProof/>
              </w:rPr>
              <w:t>2. Introduction</w:t>
            </w:r>
            <w:r>
              <w:rPr>
                <w:noProof/>
                <w:webHidden/>
              </w:rPr>
              <w:tab/>
            </w:r>
            <w:r>
              <w:rPr>
                <w:noProof/>
                <w:webHidden/>
              </w:rPr>
              <w:fldChar w:fldCharType="begin"/>
            </w:r>
            <w:r>
              <w:rPr>
                <w:noProof/>
                <w:webHidden/>
              </w:rPr>
              <w:instrText xml:space="preserve"> PAGEREF _Toc241485638 \h </w:instrText>
            </w:r>
            <w:r>
              <w:rPr>
                <w:noProof/>
                <w:webHidden/>
              </w:rPr>
            </w:r>
            <w:r>
              <w:rPr>
                <w:noProof/>
                <w:webHidden/>
              </w:rPr>
              <w:fldChar w:fldCharType="separate"/>
            </w:r>
            <w:r>
              <w:rPr>
                <w:noProof/>
                <w:webHidden/>
              </w:rPr>
              <w:t>5</w:t>
            </w:r>
            <w:r>
              <w:rPr>
                <w:noProof/>
                <w:webHidden/>
              </w:rPr>
              <w:fldChar w:fldCharType="end"/>
            </w:r>
          </w:hyperlink>
        </w:p>
        <w:p w14:paraId="25151658" w14:textId="07D3D567"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39" w:history="1">
            <w:r w:rsidRPr="00773845">
              <w:rPr>
                <w:rStyle w:val="Hyperlink"/>
                <w:noProof/>
              </w:rPr>
              <w:t>2.1 Background and rationale</w:t>
            </w:r>
            <w:r>
              <w:rPr>
                <w:noProof/>
                <w:webHidden/>
              </w:rPr>
              <w:tab/>
            </w:r>
            <w:r>
              <w:rPr>
                <w:noProof/>
                <w:webHidden/>
              </w:rPr>
              <w:fldChar w:fldCharType="begin"/>
            </w:r>
            <w:r>
              <w:rPr>
                <w:noProof/>
                <w:webHidden/>
              </w:rPr>
              <w:instrText xml:space="preserve"> PAGEREF _Toc241485639 \h </w:instrText>
            </w:r>
            <w:r>
              <w:rPr>
                <w:noProof/>
                <w:webHidden/>
              </w:rPr>
            </w:r>
            <w:r>
              <w:rPr>
                <w:noProof/>
                <w:webHidden/>
              </w:rPr>
              <w:fldChar w:fldCharType="separate"/>
            </w:r>
            <w:r>
              <w:rPr>
                <w:noProof/>
                <w:webHidden/>
              </w:rPr>
              <w:t>5</w:t>
            </w:r>
            <w:r>
              <w:rPr>
                <w:noProof/>
                <w:webHidden/>
              </w:rPr>
              <w:fldChar w:fldCharType="end"/>
            </w:r>
          </w:hyperlink>
        </w:p>
        <w:p w14:paraId="3506FDEB" w14:textId="030B58D8" w:rsidR="00250139" w:rsidRDefault="00250139">
          <w:pPr>
            <w:pStyle w:val="TOC1"/>
            <w:tabs>
              <w:tab w:val="right" w:pos="9040"/>
            </w:tabs>
            <w:rPr>
              <w:rFonts w:asciiTheme="minorHAnsi" w:eastAsiaTheme="minorEastAsia" w:hAnsiTheme="minorHAnsi" w:cstheme="minorBidi"/>
              <w:noProof/>
              <w:kern w:val="2"/>
              <w:sz w:val="24"/>
              <w:szCs w:val="24"/>
              <w14:ligatures w14:val="standardContextual"/>
            </w:rPr>
          </w:pPr>
          <w:hyperlink w:anchor="_Toc241485640" w:history="1">
            <w:r w:rsidRPr="00773845">
              <w:rPr>
                <w:rStyle w:val="Hyperlink"/>
                <w:noProof/>
              </w:rPr>
              <w:t>3. Technological and Market Overview of Older Adult Care</w:t>
            </w:r>
            <w:r>
              <w:rPr>
                <w:noProof/>
                <w:webHidden/>
              </w:rPr>
              <w:tab/>
            </w:r>
            <w:r>
              <w:rPr>
                <w:noProof/>
                <w:webHidden/>
              </w:rPr>
              <w:fldChar w:fldCharType="begin"/>
            </w:r>
            <w:r>
              <w:rPr>
                <w:noProof/>
                <w:webHidden/>
              </w:rPr>
              <w:instrText xml:space="preserve"> PAGEREF _Toc241485640 \h </w:instrText>
            </w:r>
            <w:r>
              <w:rPr>
                <w:noProof/>
                <w:webHidden/>
              </w:rPr>
            </w:r>
            <w:r>
              <w:rPr>
                <w:noProof/>
                <w:webHidden/>
              </w:rPr>
              <w:fldChar w:fldCharType="separate"/>
            </w:r>
            <w:r>
              <w:rPr>
                <w:noProof/>
                <w:webHidden/>
              </w:rPr>
              <w:t>6</w:t>
            </w:r>
            <w:r>
              <w:rPr>
                <w:noProof/>
                <w:webHidden/>
              </w:rPr>
              <w:fldChar w:fldCharType="end"/>
            </w:r>
          </w:hyperlink>
        </w:p>
        <w:p w14:paraId="6847F2F1" w14:textId="2D834C9E"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41" w:history="1">
            <w:r w:rsidRPr="00773845">
              <w:rPr>
                <w:rStyle w:val="Hyperlink"/>
                <w:noProof/>
              </w:rPr>
              <w:t>3.1 Market review</w:t>
            </w:r>
            <w:r>
              <w:rPr>
                <w:noProof/>
                <w:webHidden/>
              </w:rPr>
              <w:tab/>
            </w:r>
            <w:r>
              <w:rPr>
                <w:noProof/>
                <w:webHidden/>
              </w:rPr>
              <w:fldChar w:fldCharType="begin"/>
            </w:r>
            <w:r>
              <w:rPr>
                <w:noProof/>
                <w:webHidden/>
              </w:rPr>
              <w:instrText xml:space="preserve"> PAGEREF _Toc241485641 \h </w:instrText>
            </w:r>
            <w:r>
              <w:rPr>
                <w:noProof/>
                <w:webHidden/>
              </w:rPr>
            </w:r>
            <w:r>
              <w:rPr>
                <w:noProof/>
                <w:webHidden/>
              </w:rPr>
              <w:fldChar w:fldCharType="separate"/>
            </w:r>
            <w:r>
              <w:rPr>
                <w:noProof/>
                <w:webHidden/>
              </w:rPr>
              <w:t>6</w:t>
            </w:r>
            <w:r>
              <w:rPr>
                <w:noProof/>
                <w:webHidden/>
              </w:rPr>
              <w:fldChar w:fldCharType="end"/>
            </w:r>
          </w:hyperlink>
        </w:p>
        <w:p w14:paraId="2B3FE7D6" w14:textId="4851CD9F"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42" w:history="1">
            <w:r w:rsidRPr="00773845">
              <w:rPr>
                <w:rStyle w:val="Hyperlink"/>
                <w:noProof/>
              </w:rPr>
              <w:t>3.2 Key Challenges</w:t>
            </w:r>
            <w:r>
              <w:rPr>
                <w:noProof/>
                <w:webHidden/>
              </w:rPr>
              <w:tab/>
            </w:r>
            <w:r>
              <w:rPr>
                <w:noProof/>
                <w:webHidden/>
              </w:rPr>
              <w:fldChar w:fldCharType="begin"/>
            </w:r>
            <w:r>
              <w:rPr>
                <w:noProof/>
                <w:webHidden/>
              </w:rPr>
              <w:instrText xml:space="preserve"> PAGEREF _Toc241485642 \h </w:instrText>
            </w:r>
            <w:r>
              <w:rPr>
                <w:noProof/>
                <w:webHidden/>
              </w:rPr>
            </w:r>
            <w:r>
              <w:rPr>
                <w:noProof/>
                <w:webHidden/>
              </w:rPr>
              <w:fldChar w:fldCharType="separate"/>
            </w:r>
            <w:r>
              <w:rPr>
                <w:noProof/>
                <w:webHidden/>
              </w:rPr>
              <w:t>8</w:t>
            </w:r>
            <w:r>
              <w:rPr>
                <w:noProof/>
                <w:webHidden/>
              </w:rPr>
              <w:fldChar w:fldCharType="end"/>
            </w:r>
          </w:hyperlink>
        </w:p>
        <w:p w14:paraId="4DADBFE1" w14:textId="3A09C108"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43" w:history="1">
            <w:r w:rsidRPr="00773845">
              <w:rPr>
                <w:rStyle w:val="Hyperlink"/>
                <w:noProof/>
              </w:rPr>
              <w:t>3.3 Emerging methods, tools and technological advances</w:t>
            </w:r>
            <w:r>
              <w:rPr>
                <w:noProof/>
                <w:webHidden/>
              </w:rPr>
              <w:tab/>
            </w:r>
            <w:r>
              <w:rPr>
                <w:noProof/>
                <w:webHidden/>
              </w:rPr>
              <w:fldChar w:fldCharType="begin"/>
            </w:r>
            <w:r>
              <w:rPr>
                <w:noProof/>
                <w:webHidden/>
              </w:rPr>
              <w:instrText xml:space="preserve"> PAGEREF _Toc241485643 \h </w:instrText>
            </w:r>
            <w:r>
              <w:rPr>
                <w:noProof/>
                <w:webHidden/>
              </w:rPr>
            </w:r>
            <w:r>
              <w:rPr>
                <w:noProof/>
                <w:webHidden/>
              </w:rPr>
              <w:fldChar w:fldCharType="separate"/>
            </w:r>
            <w:r>
              <w:rPr>
                <w:noProof/>
                <w:webHidden/>
              </w:rPr>
              <w:t>9</w:t>
            </w:r>
            <w:r>
              <w:rPr>
                <w:noProof/>
                <w:webHidden/>
              </w:rPr>
              <w:fldChar w:fldCharType="end"/>
            </w:r>
          </w:hyperlink>
        </w:p>
        <w:p w14:paraId="1DA6EAFD" w14:textId="47B8CA0B" w:rsidR="00250139" w:rsidRDefault="00250139">
          <w:pPr>
            <w:pStyle w:val="TOC1"/>
            <w:tabs>
              <w:tab w:val="right" w:pos="9040"/>
            </w:tabs>
            <w:rPr>
              <w:rFonts w:asciiTheme="minorHAnsi" w:eastAsiaTheme="minorEastAsia" w:hAnsiTheme="minorHAnsi" w:cstheme="minorBidi"/>
              <w:noProof/>
              <w:kern w:val="2"/>
              <w:sz w:val="24"/>
              <w:szCs w:val="24"/>
              <w14:ligatures w14:val="standardContextual"/>
            </w:rPr>
          </w:pPr>
          <w:hyperlink w:anchor="_Toc241485644" w:history="1">
            <w:r w:rsidRPr="00773845">
              <w:rPr>
                <w:rStyle w:val="Hyperlink"/>
                <w:noProof/>
              </w:rPr>
              <w:t>4. Remote and Continuous Monitoring Platforms</w:t>
            </w:r>
            <w:r>
              <w:rPr>
                <w:noProof/>
                <w:webHidden/>
              </w:rPr>
              <w:tab/>
            </w:r>
            <w:r>
              <w:rPr>
                <w:noProof/>
                <w:webHidden/>
              </w:rPr>
              <w:fldChar w:fldCharType="begin"/>
            </w:r>
            <w:r>
              <w:rPr>
                <w:noProof/>
                <w:webHidden/>
              </w:rPr>
              <w:instrText xml:space="preserve"> PAGEREF _Toc241485644 \h </w:instrText>
            </w:r>
            <w:r>
              <w:rPr>
                <w:noProof/>
                <w:webHidden/>
              </w:rPr>
            </w:r>
            <w:r>
              <w:rPr>
                <w:noProof/>
                <w:webHidden/>
              </w:rPr>
              <w:fldChar w:fldCharType="separate"/>
            </w:r>
            <w:r>
              <w:rPr>
                <w:noProof/>
                <w:webHidden/>
              </w:rPr>
              <w:t>10</w:t>
            </w:r>
            <w:r>
              <w:rPr>
                <w:noProof/>
                <w:webHidden/>
              </w:rPr>
              <w:fldChar w:fldCharType="end"/>
            </w:r>
          </w:hyperlink>
        </w:p>
        <w:p w14:paraId="2791B3FE" w14:textId="23EAFEDC"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45" w:history="1">
            <w:r w:rsidRPr="00773845">
              <w:rPr>
                <w:rStyle w:val="Hyperlink"/>
                <w:noProof/>
              </w:rPr>
              <w:t>4.1 Current Platforms and Architectures</w:t>
            </w:r>
            <w:r>
              <w:rPr>
                <w:noProof/>
                <w:webHidden/>
              </w:rPr>
              <w:tab/>
            </w:r>
            <w:r>
              <w:rPr>
                <w:noProof/>
                <w:webHidden/>
              </w:rPr>
              <w:fldChar w:fldCharType="begin"/>
            </w:r>
            <w:r>
              <w:rPr>
                <w:noProof/>
                <w:webHidden/>
              </w:rPr>
              <w:instrText xml:space="preserve"> PAGEREF _Toc241485645 \h </w:instrText>
            </w:r>
            <w:r>
              <w:rPr>
                <w:noProof/>
                <w:webHidden/>
              </w:rPr>
            </w:r>
            <w:r>
              <w:rPr>
                <w:noProof/>
                <w:webHidden/>
              </w:rPr>
              <w:fldChar w:fldCharType="separate"/>
            </w:r>
            <w:r>
              <w:rPr>
                <w:noProof/>
                <w:webHidden/>
              </w:rPr>
              <w:t>11</w:t>
            </w:r>
            <w:r>
              <w:rPr>
                <w:noProof/>
                <w:webHidden/>
              </w:rPr>
              <w:fldChar w:fldCharType="end"/>
            </w:r>
          </w:hyperlink>
        </w:p>
        <w:p w14:paraId="1BB2E713" w14:textId="7C664DC4"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46" w:history="1">
            <w:r w:rsidRPr="00773845">
              <w:rPr>
                <w:rStyle w:val="Hyperlink"/>
                <w:noProof/>
              </w:rPr>
              <w:t>4.2 Key Challenges</w:t>
            </w:r>
            <w:r>
              <w:rPr>
                <w:noProof/>
                <w:webHidden/>
              </w:rPr>
              <w:tab/>
            </w:r>
            <w:r>
              <w:rPr>
                <w:noProof/>
                <w:webHidden/>
              </w:rPr>
              <w:fldChar w:fldCharType="begin"/>
            </w:r>
            <w:r>
              <w:rPr>
                <w:noProof/>
                <w:webHidden/>
              </w:rPr>
              <w:instrText xml:space="preserve"> PAGEREF _Toc241485646 \h </w:instrText>
            </w:r>
            <w:r>
              <w:rPr>
                <w:noProof/>
                <w:webHidden/>
              </w:rPr>
            </w:r>
            <w:r>
              <w:rPr>
                <w:noProof/>
                <w:webHidden/>
              </w:rPr>
              <w:fldChar w:fldCharType="separate"/>
            </w:r>
            <w:r>
              <w:rPr>
                <w:noProof/>
                <w:webHidden/>
              </w:rPr>
              <w:t>12</w:t>
            </w:r>
            <w:r>
              <w:rPr>
                <w:noProof/>
                <w:webHidden/>
              </w:rPr>
              <w:fldChar w:fldCharType="end"/>
            </w:r>
          </w:hyperlink>
        </w:p>
        <w:p w14:paraId="3957888A" w14:textId="7864BA69" w:rsidR="00250139" w:rsidRDefault="00250139">
          <w:pPr>
            <w:pStyle w:val="TOC1"/>
            <w:tabs>
              <w:tab w:val="right" w:pos="9040"/>
            </w:tabs>
            <w:rPr>
              <w:rFonts w:asciiTheme="minorHAnsi" w:eastAsiaTheme="minorEastAsia" w:hAnsiTheme="minorHAnsi" w:cstheme="minorBidi"/>
              <w:noProof/>
              <w:kern w:val="2"/>
              <w:sz w:val="24"/>
              <w:szCs w:val="24"/>
              <w14:ligatures w14:val="standardContextual"/>
            </w:rPr>
          </w:pPr>
          <w:hyperlink w:anchor="_Toc241485647" w:history="1">
            <w:r w:rsidRPr="00773845">
              <w:rPr>
                <w:rStyle w:val="Hyperlink"/>
                <w:noProof/>
              </w:rPr>
              <w:t>5. Wearable Devices and IoT sensors</w:t>
            </w:r>
            <w:r>
              <w:rPr>
                <w:noProof/>
                <w:webHidden/>
              </w:rPr>
              <w:tab/>
            </w:r>
            <w:r>
              <w:rPr>
                <w:noProof/>
                <w:webHidden/>
              </w:rPr>
              <w:fldChar w:fldCharType="begin"/>
            </w:r>
            <w:r>
              <w:rPr>
                <w:noProof/>
                <w:webHidden/>
              </w:rPr>
              <w:instrText xml:space="preserve"> PAGEREF _Toc241485647 \h </w:instrText>
            </w:r>
            <w:r>
              <w:rPr>
                <w:noProof/>
                <w:webHidden/>
              </w:rPr>
            </w:r>
            <w:r>
              <w:rPr>
                <w:noProof/>
                <w:webHidden/>
              </w:rPr>
              <w:fldChar w:fldCharType="separate"/>
            </w:r>
            <w:r>
              <w:rPr>
                <w:noProof/>
                <w:webHidden/>
              </w:rPr>
              <w:t>13</w:t>
            </w:r>
            <w:r>
              <w:rPr>
                <w:noProof/>
                <w:webHidden/>
              </w:rPr>
              <w:fldChar w:fldCharType="end"/>
            </w:r>
          </w:hyperlink>
        </w:p>
        <w:p w14:paraId="6E1DD84B" w14:textId="0375ABF9"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48" w:history="1">
            <w:r w:rsidRPr="00773845">
              <w:rPr>
                <w:rStyle w:val="Hyperlink"/>
                <w:noProof/>
              </w:rPr>
              <w:t>5.1 Wearables (bracelets, smartwatches, portable ECG devices, PERS)</w:t>
            </w:r>
            <w:r>
              <w:rPr>
                <w:noProof/>
                <w:webHidden/>
              </w:rPr>
              <w:tab/>
            </w:r>
            <w:r>
              <w:rPr>
                <w:noProof/>
                <w:webHidden/>
              </w:rPr>
              <w:fldChar w:fldCharType="begin"/>
            </w:r>
            <w:r>
              <w:rPr>
                <w:noProof/>
                <w:webHidden/>
              </w:rPr>
              <w:instrText xml:space="preserve"> PAGEREF _Toc241485648 \h </w:instrText>
            </w:r>
            <w:r>
              <w:rPr>
                <w:noProof/>
                <w:webHidden/>
              </w:rPr>
            </w:r>
            <w:r>
              <w:rPr>
                <w:noProof/>
                <w:webHidden/>
              </w:rPr>
              <w:fldChar w:fldCharType="separate"/>
            </w:r>
            <w:r>
              <w:rPr>
                <w:noProof/>
                <w:webHidden/>
              </w:rPr>
              <w:t>13</w:t>
            </w:r>
            <w:r>
              <w:rPr>
                <w:noProof/>
                <w:webHidden/>
              </w:rPr>
              <w:fldChar w:fldCharType="end"/>
            </w:r>
          </w:hyperlink>
        </w:p>
        <w:p w14:paraId="09FF9E00" w14:textId="7859E8EC"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49" w:history="1">
            <w:r w:rsidRPr="00773845">
              <w:rPr>
                <w:rStyle w:val="Hyperlink"/>
                <w:noProof/>
              </w:rPr>
              <w:t>5.2 Cameras and Environmental Sensors (smart cameras, radar, PIR)</w:t>
            </w:r>
            <w:r>
              <w:rPr>
                <w:noProof/>
                <w:webHidden/>
              </w:rPr>
              <w:tab/>
            </w:r>
            <w:r>
              <w:rPr>
                <w:noProof/>
                <w:webHidden/>
              </w:rPr>
              <w:fldChar w:fldCharType="begin"/>
            </w:r>
            <w:r>
              <w:rPr>
                <w:noProof/>
                <w:webHidden/>
              </w:rPr>
              <w:instrText xml:space="preserve"> PAGEREF _Toc241485649 \h </w:instrText>
            </w:r>
            <w:r>
              <w:rPr>
                <w:noProof/>
                <w:webHidden/>
              </w:rPr>
            </w:r>
            <w:r>
              <w:rPr>
                <w:noProof/>
                <w:webHidden/>
              </w:rPr>
              <w:fldChar w:fldCharType="separate"/>
            </w:r>
            <w:r>
              <w:rPr>
                <w:noProof/>
                <w:webHidden/>
              </w:rPr>
              <w:t>14</w:t>
            </w:r>
            <w:r>
              <w:rPr>
                <w:noProof/>
                <w:webHidden/>
              </w:rPr>
              <w:fldChar w:fldCharType="end"/>
            </w:r>
          </w:hyperlink>
        </w:p>
        <w:p w14:paraId="2E5D1714" w14:textId="63F6A207"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50" w:history="1">
            <w:r w:rsidRPr="00773845">
              <w:rPr>
                <w:rStyle w:val="Hyperlink"/>
                <w:noProof/>
              </w:rPr>
              <w:t>5.3 Smartphones (passive data collection, cognitive apps)</w:t>
            </w:r>
            <w:r>
              <w:rPr>
                <w:noProof/>
                <w:webHidden/>
              </w:rPr>
              <w:tab/>
            </w:r>
            <w:r>
              <w:rPr>
                <w:noProof/>
                <w:webHidden/>
              </w:rPr>
              <w:fldChar w:fldCharType="begin"/>
            </w:r>
            <w:r>
              <w:rPr>
                <w:noProof/>
                <w:webHidden/>
              </w:rPr>
              <w:instrText xml:space="preserve"> PAGEREF _Toc241485650 \h </w:instrText>
            </w:r>
            <w:r>
              <w:rPr>
                <w:noProof/>
                <w:webHidden/>
              </w:rPr>
            </w:r>
            <w:r>
              <w:rPr>
                <w:noProof/>
                <w:webHidden/>
              </w:rPr>
              <w:fldChar w:fldCharType="separate"/>
            </w:r>
            <w:r>
              <w:rPr>
                <w:noProof/>
                <w:webHidden/>
              </w:rPr>
              <w:t>15</w:t>
            </w:r>
            <w:r>
              <w:rPr>
                <w:noProof/>
                <w:webHidden/>
              </w:rPr>
              <w:fldChar w:fldCharType="end"/>
            </w:r>
          </w:hyperlink>
        </w:p>
        <w:p w14:paraId="444B3321" w14:textId="617DFABC"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51" w:history="1">
            <w:r w:rsidRPr="00773845">
              <w:rPr>
                <w:rStyle w:val="Hyperlink"/>
                <w:noProof/>
              </w:rPr>
              <w:t>5.4 Microphones and Audio (voice analysis, sound event detection)</w:t>
            </w:r>
            <w:r>
              <w:rPr>
                <w:noProof/>
                <w:webHidden/>
              </w:rPr>
              <w:tab/>
            </w:r>
            <w:r>
              <w:rPr>
                <w:noProof/>
                <w:webHidden/>
              </w:rPr>
              <w:fldChar w:fldCharType="begin"/>
            </w:r>
            <w:r>
              <w:rPr>
                <w:noProof/>
                <w:webHidden/>
              </w:rPr>
              <w:instrText xml:space="preserve"> PAGEREF _Toc241485651 \h </w:instrText>
            </w:r>
            <w:r>
              <w:rPr>
                <w:noProof/>
                <w:webHidden/>
              </w:rPr>
            </w:r>
            <w:r>
              <w:rPr>
                <w:noProof/>
                <w:webHidden/>
              </w:rPr>
              <w:fldChar w:fldCharType="separate"/>
            </w:r>
            <w:r>
              <w:rPr>
                <w:noProof/>
                <w:webHidden/>
              </w:rPr>
              <w:t>16</w:t>
            </w:r>
            <w:r>
              <w:rPr>
                <w:noProof/>
                <w:webHidden/>
              </w:rPr>
              <w:fldChar w:fldCharType="end"/>
            </w:r>
          </w:hyperlink>
        </w:p>
        <w:p w14:paraId="13F5632A" w14:textId="1043F6BD"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52" w:history="1">
            <w:r w:rsidRPr="00773845">
              <w:rPr>
                <w:rStyle w:val="Hyperlink"/>
                <w:noProof/>
              </w:rPr>
              <w:t>5.5 Key Challenges</w:t>
            </w:r>
            <w:r>
              <w:rPr>
                <w:noProof/>
                <w:webHidden/>
              </w:rPr>
              <w:tab/>
            </w:r>
            <w:r>
              <w:rPr>
                <w:noProof/>
                <w:webHidden/>
              </w:rPr>
              <w:fldChar w:fldCharType="begin"/>
            </w:r>
            <w:r>
              <w:rPr>
                <w:noProof/>
                <w:webHidden/>
              </w:rPr>
              <w:instrText xml:space="preserve"> PAGEREF _Toc241485652 \h </w:instrText>
            </w:r>
            <w:r>
              <w:rPr>
                <w:noProof/>
                <w:webHidden/>
              </w:rPr>
            </w:r>
            <w:r>
              <w:rPr>
                <w:noProof/>
                <w:webHidden/>
              </w:rPr>
              <w:fldChar w:fldCharType="separate"/>
            </w:r>
            <w:r>
              <w:rPr>
                <w:noProof/>
                <w:webHidden/>
              </w:rPr>
              <w:t>17</w:t>
            </w:r>
            <w:r>
              <w:rPr>
                <w:noProof/>
                <w:webHidden/>
              </w:rPr>
              <w:fldChar w:fldCharType="end"/>
            </w:r>
          </w:hyperlink>
        </w:p>
        <w:p w14:paraId="47EA047F" w14:textId="70C77B2F" w:rsidR="00250139" w:rsidRDefault="00250139">
          <w:pPr>
            <w:pStyle w:val="TOC1"/>
            <w:tabs>
              <w:tab w:val="right" w:pos="9040"/>
            </w:tabs>
            <w:rPr>
              <w:rFonts w:asciiTheme="minorHAnsi" w:eastAsiaTheme="minorEastAsia" w:hAnsiTheme="minorHAnsi" w:cstheme="minorBidi"/>
              <w:noProof/>
              <w:kern w:val="2"/>
              <w:sz w:val="24"/>
              <w:szCs w:val="24"/>
              <w14:ligatures w14:val="standardContextual"/>
            </w:rPr>
          </w:pPr>
          <w:hyperlink w:anchor="_Toc241485653" w:history="1">
            <w:r w:rsidRPr="00773845">
              <w:rPr>
                <w:rStyle w:val="Hyperlink"/>
                <w:noProof/>
              </w:rPr>
              <w:t>6.1 Generative AI Screening Technologies</w:t>
            </w:r>
            <w:r>
              <w:rPr>
                <w:noProof/>
                <w:webHidden/>
              </w:rPr>
              <w:tab/>
            </w:r>
            <w:r>
              <w:rPr>
                <w:noProof/>
                <w:webHidden/>
              </w:rPr>
              <w:fldChar w:fldCharType="begin"/>
            </w:r>
            <w:r>
              <w:rPr>
                <w:noProof/>
                <w:webHidden/>
              </w:rPr>
              <w:instrText xml:space="preserve"> PAGEREF _Toc241485653 \h </w:instrText>
            </w:r>
            <w:r>
              <w:rPr>
                <w:noProof/>
                <w:webHidden/>
              </w:rPr>
            </w:r>
            <w:r>
              <w:rPr>
                <w:noProof/>
                <w:webHidden/>
              </w:rPr>
              <w:fldChar w:fldCharType="separate"/>
            </w:r>
            <w:r>
              <w:rPr>
                <w:noProof/>
                <w:webHidden/>
              </w:rPr>
              <w:t>18</w:t>
            </w:r>
            <w:r>
              <w:rPr>
                <w:noProof/>
                <w:webHidden/>
              </w:rPr>
              <w:fldChar w:fldCharType="end"/>
            </w:r>
          </w:hyperlink>
        </w:p>
        <w:p w14:paraId="77BB457D" w14:textId="1B4E8B94"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54" w:history="1">
            <w:r w:rsidRPr="00773845">
              <w:rPr>
                <w:rStyle w:val="Hyperlink"/>
                <w:noProof/>
              </w:rPr>
              <w:t>6.1 Introduction</w:t>
            </w:r>
            <w:r>
              <w:rPr>
                <w:noProof/>
                <w:webHidden/>
              </w:rPr>
              <w:tab/>
            </w:r>
            <w:r>
              <w:rPr>
                <w:noProof/>
                <w:webHidden/>
              </w:rPr>
              <w:fldChar w:fldCharType="begin"/>
            </w:r>
            <w:r>
              <w:rPr>
                <w:noProof/>
                <w:webHidden/>
              </w:rPr>
              <w:instrText xml:space="preserve"> PAGEREF _Toc241485654 \h </w:instrText>
            </w:r>
            <w:r>
              <w:rPr>
                <w:noProof/>
                <w:webHidden/>
              </w:rPr>
            </w:r>
            <w:r>
              <w:rPr>
                <w:noProof/>
                <w:webHidden/>
              </w:rPr>
              <w:fldChar w:fldCharType="separate"/>
            </w:r>
            <w:r>
              <w:rPr>
                <w:noProof/>
                <w:webHidden/>
              </w:rPr>
              <w:t>18</w:t>
            </w:r>
            <w:r>
              <w:rPr>
                <w:noProof/>
                <w:webHidden/>
              </w:rPr>
              <w:fldChar w:fldCharType="end"/>
            </w:r>
          </w:hyperlink>
        </w:p>
        <w:p w14:paraId="6665C5F1" w14:textId="3EF7802C"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55" w:history="1">
            <w:r w:rsidRPr="00773845">
              <w:rPr>
                <w:rStyle w:val="Hyperlink"/>
                <w:noProof/>
              </w:rPr>
              <w:t>6.2 Research Clusters</w:t>
            </w:r>
            <w:r>
              <w:rPr>
                <w:noProof/>
                <w:webHidden/>
              </w:rPr>
              <w:tab/>
            </w:r>
            <w:r>
              <w:rPr>
                <w:noProof/>
                <w:webHidden/>
              </w:rPr>
              <w:fldChar w:fldCharType="begin"/>
            </w:r>
            <w:r>
              <w:rPr>
                <w:noProof/>
                <w:webHidden/>
              </w:rPr>
              <w:instrText xml:space="preserve"> PAGEREF _Toc241485655 \h </w:instrText>
            </w:r>
            <w:r>
              <w:rPr>
                <w:noProof/>
                <w:webHidden/>
              </w:rPr>
            </w:r>
            <w:r>
              <w:rPr>
                <w:noProof/>
                <w:webHidden/>
              </w:rPr>
              <w:fldChar w:fldCharType="separate"/>
            </w:r>
            <w:r>
              <w:rPr>
                <w:noProof/>
                <w:webHidden/>
              </w:rPr>
              <w:t>19</w:t>
            </w:r>
            <w:r>
              <w:rPr>
                <w:noProof/>
                <w:webHidden/>
              </w:rPr>
              <w:fldChar w:fldCharType="end"/>
            </w:r>
          </w:hyperlink>
        </w:p>
        <w:p w14:paraId="6967A05D" w14:textId="79ABB3AF"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56" w:history="1">
            <w:r w:rsidRPr="00773845">
              <w:rPr>
                <w:rStyle w:val="Hyperlink"/>
                <w:noProof/>
              </w:rPr>
              <w:t>6.3 Key Challenges</w:t>
            </w:r>
            <w:r>
              <w:rPr>
                <w:noProof/>
                <w:webHidden/>
              </w:rPr>
              <w:tab/>
            </w:r>
            <w:r>
              <w:rPr>
                <w:noProof/>
                <w:webHidden/>
              </w:rPr>
              <w:fldChar w:fldCharType="begin"/>
            </w:r>
            <w:r>
              <w:rPr>
                <w:noProof/>
                <w:webHidden/>
              </w:rPr>
              <w:instrText xml:space="preserve"> PAGEREF _Toc241485656 \h </w:instrText>
            </w:r>
            <w:r>
              <w:rPr>
                <w:noProof/>
                <w:webHidden/>
              </w:rPr>
            </w:r>
            <w:r>
              <w:rPr>
                <w:noProof/>
                <w:webHidden/>
              </w:rPr>
              <w:fldChar w:fldCharType="separate"/>
            </w:r>
            <w:r>
              <w:rPr>
                <w:noProof/>
                <w:webHidden/>
              </w:rPr>
              <w:t>21</w:t>
            </w:r>
            <w:r>
              <w:rPr>
                <w:noProof/>
                <w:webHidden/>
              </w:rPr>
              <w:fldChar w:fldCharType="end"/>
            </w:r>
          </w:hyperlink>
        </w:p>
        <w:p w14:paraId="47800C9E" w14:textId="2973A86B" w:rsidR="00250139" w:rsidRDefault="00250139">
          <w:pPr>
            <w:pStyle w:val="TOC1"/>
            <w:tabs>
              <w:tab w:val="right" w:pos="9040"/>
            </w:tabs>
            <w:rPr>
              <w:rFonts w:asciiTheme="minorHAnsi" w:eastAsiaTheme="minorEastAsia" w:hAnsiTheme="minorHAnsi" w:cstheme="minorBidi"/>
              <w:noProof/>
              <w:kern w:val="2"/>
              <w:sz w:val="24"/>
              <w:szCs w:val="24"/>
              <w14:ligatures w14:val="standardContextual"/>
            </w:rPr>
          </w:pPr>
          <w:hyperlink w:anchor="_Toc241485657" w:history="1">
            <w:r w:rsidRPr="00773845">
              <w:rPr>
                <w:rStyle w:val="Hyperlink"/>
                <w:noProof/>
              </w:rPr>
              <w:t>7. Digital Twins and Edge Computing</w:t>
            </w:r>
            <w:r>
              <w:rPr>
                <w:noProof/>
                <w:webHidden/>
              </w:rPr>
              <w:tab/>
            </w:r>
            <w:r>
              <w:rPr>
                <w:noProof/>
                <w:webHidden/>
              </w:rPr>
              <w:fldChar w:fldCharType="begin"/>
            </w:r>
            <w:r>
              <w:rPr>
                <w:noProof/>
                <w:webHidden/>
              </w:rPr>
              <w:instrText xml:space="preserve"> PAGEREF _Toc241485657 \h </w:instrText>
            </w:r>
            <w:r>
              <w:rPr>
                <w:noProof/>
                <w:webHidden/>
              </w:rPr>
            </w:r>
            <w:r>
              <w:rPr>
                <w:noProof/>
                <w:webHidden/>
              </w:rPr>
              <w:fldChar w:fldCharType="separate"/>
            </w:r>
            <w:r>
              <w:rPr>
                <w:noProof/>
                <w:webHidden/>
              </w:rPr>
              <w:t>22</w:t>
            </w:r>
            <w:r>
              <w:rPr>
                <w:noProof/>
                <w:webHidden/>
              </w:rPr>
              <w:fldChar w:fldCharType="end"/>
            </w:r>
          </w:hyperlink>
        </w:p>
        <w:p w14:paraId="1670D468" w14:textId="7C55F4ED"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58" w:history="1">
            <w:r w:rsidRPr="00773845">
              <w:rPr>
                <w:rStyle w:val="Hyperlink"/>
                <w:noProof/>
              </w:rPr>
              <w:t>7.1 Digital Twins</w:t>
            </w:r>
            <w:r>
              <w:rPr>
                <w:noProof/>
                <w:webHidden/>
              </w:rPr>
              <w:tab/>
            </w:r>
            <w:r>
              <w:rPr>
                <w:noProof/>
                <w:webHidden/>
              </w:rPr>
              <w:fldChar w:fldCharType="begin"/>
            </w:r>
            <w:r>
              <w:rPr>
                <w:noProof/>
                <w:webHidden/>
              </w:rPr>
              <w:instrText xml:space="preserve"> PAGEREF _Toc241485658 \h </w:instrText>
            </w:r>
            <w:r>
              <w:rPr>
                <w:noProof/>
                <w:webHidden/>
              </w:rPr>
            </w:r>
            <w:r>
              <w:rPr>
                <w:noProof/>
                <w:webHidden/>
              </w:rPr>
              <w:fldChar w:fldCharType="separate"/>
            </w:r>
            <w:r>
              <w:rPr>
                <w:noProof/>
                <w:webHidden/>
              </w:rPr>
              <w:t>23</w:t>
            </w:r>
            <w:r>
              <w:rPr>
                <w:noProof/>
                <w:webHidden/>
              </w:rPr>
              <w:fldChar w:fldCharType="end"/>
            </w:r>
          </w:hyperlink>
        </w:p>
        <w:p w14:paraId="01914671" w14:textId="227F72CF"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59" w:history="1">
            <w:r w:rsidRPr="00773845">
              <w:rPr>
                <w:rStyle w:val="Hyperlink"/>
                <w:noProof/>
              </w:rPr>
              <w:t>7.2 Edge Processing</w:t>
            </w:r>
            <w:r>
              <w:rPr>
                <w:noProof/>
                <w:webHidden/>
              </w:rPr>
              <w:tab/>
            </w:r>
            <w:r>
              <w:rPr>
                <w:noProof/>
                <w:webHidden/>
              </w:rPr>
              <w:fldChar w:fldCharType="begin"/>
            </w:r>
            <w:r>
              <w:rPr>
                <w:noProof/>
                <w:webHidden/>
              </w:rPr>
              <w:instrText xml:space="preserve"> PAGEREF _Toc241485659 \h </w:instrText>
            </w:r>
            <w:r>
              <w:rPr>
                <w:noProof/>
                <w:webHidden/>
              </w:rPr>
            </w:r>
            <w:r>
              <w:rPr>
                <w:noProof/>
                <w:webHidden/>
              </w:rPr>
              <w:fldChar w:fldCharType="separate"/>
            </w:r>
            <w:r>
              <w:rPr>
                <w:noProof/>
                <w:webHidden/>
              </w:rPr>
              <w:t>23</w:t>
            </w:r>
            <w:r>
              <w:rPr>
                <w:noProof/>
                <w:webHidden/>
              </w:rPr>
              <w:fldChar w:fldCharType="end"/>
            </w:r>
          </w:hyperlink>
        </w:p>
        <w:p w14:paraId="3D481A6B" w14:textId="5DAEF65E"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60" w:history="1">
            <w:r w:rsidRPr="00773845">
              <w:rPr>
                <w:rStyle w:val="Hyperlink"/>
                <w:noProof/>
              </w:rPr>
              <w:t>7.3 Key Challenges</w:t>
            </w:r>
            <w:r>
              <w:rPr>
                <w:noProof/>
                <w:webHidden/>
              </w:rPr>
              <w:tab/>
            </w:r>
            <w:r>
              <w:rPr>
                <w:noProof/>
                <w:webHidden/>
              </w:rPr>
              <w:fldChar w:fldCharType="begin"/>
            </w:r>
            <w:r>
              <w:rPr>
                <w:noProof/>
                <w:webHidden/>
              </w:rPr>
              <w:instrText xml:space="preserve"> PAGEREF _Toc241485660 \h </w:instrText>
            </w:r>
            <w:r>
              <w:rPr>
                <w:noProof/>
                <w:webHidden/>
              </w:rPr>
            </w:r>
            <w:r>
              <w:rPr>
                <w:noProof/>
                <w:webHidden/>
              </w:rPr>
              <w:fldChar w:fldCharType="separate"/>
            </w:r>
            <w:r>
              <w:rPr>
                <w:noProof/>
                <w:webHidden/>
              </w:rPr>
              <w:t>24</w:t>
            </w:r>
            <w:r>
              <w:rPr>
                <w:noProof/>
                <w:webHidden/>
              </w:rPr>
              <w:fldChar w:fldCharType="end"/>
            </w:r>
          </w:hyperlink>
        </w:p>
        <w:p w14:paraId="122A4BA6" w14:textId="38D8FDC0" w:rsidR="00250139" w:rsidRDefault="00250139">
          <w:pPr>
            <w:pStyle w:val="TOC1"/>
            <w:tabs>
              <w:tab w:val="right" w:pos="9040"/>
            </w:tabs>
            <w:rPr>
              <w:rFonts w:asciiTheme="minorHAnsi" w:eastAsiaTheme="minorEastAsia" w:hAnsiTheme="minorHAnsi" w:cstheme="minorBidi"/>
              <w:noProof/>
              <w:kern w:val="2"/>
              <w:sz w:val="24"/>
              <w:szCs w:val="24"/>
              <w14:ligatures w14:val="standardContextual"/>
            </w:rPr>
          </w:pPr>
          <w:hyperlink w:anchor="_Toc241485661" w:history="1">
            <w:r w:rsidRPr="00773845">
              <w:rPr>
                <w:rStyle w:val="Hyperlink"/>
                <w:noProof/>
              </w:rPr>
              <w:t>8. Human Centred AI and Explainable AI</w:t>
            </w:r>
            <w:r>
              <w:rPr>
                <w:noProof/>
                <w:webHidden/>
              </w:rPr>
              <w:tab/>
            </w:r>
            <w:r>
              <w:rPr>
                <w:noProof/>
                <w:webHidden/>
              </w:rPr>
              <w:fldChar w:fldCharType="begin"/>
            </w:r>
            <w:r>
              <w:rPr>
                <w:noProof/>
                <w:webHidden/>
              </w:rPr>
              <w:instrText xml:space="preserve"> PAGEREF _Toc241485661 \h </w:instrText>
            </w:r>
            <w:r>
              <w:rPr>
                <w:noProof/>
                <w:webHidden/>
              </w:rPr>
            </w:r>
            <w:r>
              <w:rPr>
                <w:noProof/>
                <w:webHidden/>
              </w:rPr>
              <w:fldChar w:fldCharType="separate"/>
            </w:r>
            <w:r>
              <w:rPr>
                <w:noProof/>
                <w:webHidden/>
              </w:rPr>
              <w:t>25</w:t>
            </w:r>
            <w:r>
              <w:rPr>
                <w:noProof/>
                <w:webHidden/>
              </w:rPr>
              <w:fldChar w:fldCharType="end"/>
            </w:r>
          </w:hyperlink>
        </w:p>
        <w:p w14:paraId="7BA4D6E6" w14:textId="15B10EB7"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62" w:history="1">
            <w:r w:rsidRPr="00773845">
              <w:rPr>
                <w:rStyle w:val="Hyperlink"/>
                <w:noProof/>
              </w:rPr>
              <w:t>8.1 Introduction</w:t>
            </w:r>
            <w:r>
              <w:rPr>
                <w:noProof/>
                <w:webHidden/>
              </w:rPr>
              <w:tab/>
            </w:r>
            <w:r>
              <w:rPr>
                <w:noProof/>
                <w:webHidden/>
              </w:rPr>
              <w:fldChar w:fldCharType="begin"/>
            </w:r>
            <w:r>
              <w:rPr>
                <w:noProof/>
                <w:webHidden/>
              </w:rPr>
              <w:instrText xml:space="preserve"> PAGEREF _Toc241485662 \h </w:instrText>
            </w:r>
            <w:r>
              <w:rPr>
                <w:noProof/>
                <w:webHidden/>
              </w:rPr>
            </w:r>
            <w:r>
              <w:rPr>
                <w:noProof/>
                <w:webHidden/>
              </w:rPr>
              <w:fldChar w:fldCharType="separate"/>
            </w:r>
            <w:r>
              <w:rPr>
                <w:noProof/>
                <w:webHidden/>
              </w:rPr>
              <w:t>25</w:t>
            </w:r>
            <w:r>
              <w:rPr>
                <w:noProof/>
                <w:webHidden/>
              </w:rPr>
              <w:fldChar w:fldCharType="end"/>
            </w:r>
          </w:hyperlink>
        </w:p>
        <w:p w14:paraId="7DD52D36" w14:textId="12D5BE78"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63" w:history="1">
            <w:r w:rsidRPr="00773845">
              <w:rPr>
                <w:rStyle w:val="Hyperlink"/>
                <w:noProof/>
              </w:rPr>
              <w:t>8.2 Research clusters</w:t>
            </w:r>
            <w:r>
              <w:rPr>
                <w:noProof/>
                <w:webHidden/>
              </w:rPr>
              <w:tab/>
            </w:r>
            <w:r>
              <w:rPr>
                <w:noProof/>
                <w:webHidden/>
              </w:rPr>
              <w:fldChar w:fldCharType="begin"/>
            </w:r>
            <w:r>
              <w:rPr>
                <w:noProof/>
                <w:webHidden/>
              </w:rPr>
              <w:instrText xml:space="preserve"> PAGEREF _Toc241485663 \h </w:instrText>
            </w:r>
            <w:r>
              <w:rPr>
                <w:noProof/>
                <w:webHidden/>
              </w:rPr>
            </w:r>
            <w:r>
              <w:rPr>
                <w:noProof/>
                <w:webHidden/>
              </w:rPr>
              <w:fldChar w:fldCharType="separate"/>
            </w:r>
            <w:r>
              <w:rPr>
                <w:noProof/>
                <w:webHidden/>
              </w:rPr>
              <w:t>26</w:t>
            </w:r>
            <w:r>
              <w:rPr>
                <w:noProof/>
                <w:webHidden/>
              </w:rPr>
              <w:fldChar w:fldCharType="end"/>
            </w:r>
          </w:hyperlink>
        </w:p>
        <w:p w14:paraId="763473F7" w14:textId="6DD43524" w:rsidR="00250139" w:rsidRDefault="00250139">
          <w:pPr>
            <w:pStyle w:val="TOC2"/>
            <w:tabs>
              <w:tab w:val="right" w:pos="9040"/>
            </w:tabs>
            <w:rPr>
              <w:rFonts w:asciiTheme="minorHAnsi" w:eastAsiaTheme="minorEastAsia" w:hAnsiTheme="minorHAnsi" w:cstheme="minorBidi"/>
              <w:noProof/>
              <w:kern w:val="2"/>
              <w:sz w:val="24"/>
              <w:szCs w:val="24"/>
              <w14:ligatures w14:val="standardContextual"/>
            </w:rPr>
          </w:pPr>
          <w:hyperlink w:anchor="_Toc241485664" w:history="1">
            <w:r w:rsidRPr="00773845">
              <w:rPr>
                <w:rStyle w:val="Hyperlink"/>
                <w:noProof/>
              </w:rPr>
              <w:t>8.3 Key Challenges</w:t>
            </w:r>
            <w:r>
              <w:rPr>
                <w:noProof/>
                <w:webHidden/>
              </w:rPr>
              <w:tab/>
            </w:r>
            <w:r>
              <w:rPr>
                <w:noProof/>
                <w:webHidden/>
              </w:rPr>
              <w:fldChar w:fldCharType="begin"/>
            </w:r>
            <w:r>
              <w:rPr>
                <w:noProof/>
                <w:webHidden/>
              </w:rPr>
              <w:instrText xml:space="preserve"> PAGEREF _Toc241485664 \h </w:instrText>
            </w:r>
            <w:r>
              <w:rPr>
                <w:noProof/>
                <w:webHidden/>
              </w:rPr>
            </w:r>
            <w:r>
              <w:rPr>
                <w:noProof/>
                <w:webHidden/>
              </w:rPr>
              <w:fldChar w:fldCharType="separate"/>
            </w:r>
            <w:r>
              <w:rPr>
                <w:noProof/>
                <w:webHidden/>
              </w:rPr>
              <w:t>27</w:t>
            </w:r>
            <w:r>
              <w:rPr>
                <w:noProof/>
                <w:webHidden/>
              </w:rPr>
              <w:fldChar w:fldCharType="end"/>
            </w:r>
          </w:hyperlink>
        </w:p>
        <w:p w14:paraId="5551B49A" w14:textId="7245CDF8" w:rsidR="00250139" w:rsidRDefault="00250139">
          <w:pPr>
            <w:pStyle w:val="TOC1"/>
            <w:tabs>
              <w:tab w:val="right" w:pos="9040"/>
            </w:tabs>
            <w:rPr>
              <w:rFonts w:asciiTheme="minorHAnsi" w:eastAsiaTheme="minorEastAsia" w:hAnsiTheme="minorHAnsi" w:cstheme="minorBidi"/>
              <w:noProof/>
              <w:kern w:val="2"/>
              <w:sz w:val="24"/>
              <w:szCs w:val="24"/>
              <w14:ligatures w14:val="standardContextual"/>
            </w:rPr>
          </w:pPr>
          <w:hyperlink w:anchor="_Toc241485665" w:history="1">
            <w:r w:rsidRPr="00773845">
              <w:rPr>
                <w:rStyle w:val="Hyperlink"/>
                <w:noProof/>
              </w:rPr>
              <w:t>9. Conclusions</w:t>
            </w:r>
            <w:r>
              <w:rPr>
                <w:noProof/>
                <w:webHidden/>
              </w:rPr>
              <w:tab/>
            </w:r>
            <w:r>
              <w:rPr>
                <w:noProof/>
                <w:webHidden/>
              </w:rPr>
              <w:fldChar w:fldCharType="begin"/>
            </w:r>
            <w:r>
              <w:rPr>
                <w:noProof/>
                <w:webHidden/>
              </w:rPr>
              <w:instrText xml:space="preserve"> PAGEREF _Toc241485665 \h </w:instrText>
            </w:r>
            <w:r>
              <w:rPr>
                <w:noProof/>
                <w:webHidden/>
              </w:rPr>
            </w:r>
            <w:r>
              <w:rPr>
                <w:noProof/>
                <w:webHidden/>
              </w:rPr>
              <w:fldChar w:fldCharType="separate"/>
            </w:r>
            <w:r>
              <w:rPr>
                <w:noProof/>
                <w:webHidden/>
              </w:rPr>
              <w:t>28</w:t>
            </w:r>
            <w:r>
              <w:rPr>
                <w:noProof/>
                <w:webHidden/>
              </w:rPr>
              <w:fldChar w:fldCharType="end"/>
            </w:r>
          </w:hyperlink>
        </w:p>
        <w:p w14:paraId="3A8A6B1C" w14:textId="6F879D77" w:rsidR="00250139" w:rsidRDefault="00250139">
          <w:pPr>
            <w:pStyle w:val="TOC1"/>
            <w:tabs>
              <w:tab w:val="right" w:pos="9040"/>
            </w:tabs>
            <w:rPr>
              <w:rFonts w:asciiTheme="minorHAnsi" w:eastAsiaTheme="minorEastAsia" w:hAnsiTheme="minorHAnsi" w:cstheme="minorBidi"/>
              <w:noProof/>
              <w:kern w:val="2"/>
              <w:sz w:val="24"/>
              <w:szCs w:val="24"/>
              <w14:ligatures w14:val="standardContextual"/>
            </w:rPr>
          </w:pPr>
          <w:hyperlink w:anchor="_Toc241485666" w:history="1">
            <w:r w:rsidRPr="00773845">
              <w:rPr>
                <w:rStyle w:val="Hyperlink"/>
                <w:noProof/>
              </w:rPr>
              <w:t>10. References</w:t>
            </w:r>
            <w:r>
              <w:rPr>
                <w:noProof/>
                <w:webHidden/>
              </w:rPr>
              <w:tab/>
            </w:r>
            <w:r>
              <w:rPr>
                <w:noProof/>
                <w:webHidden/>
              </w:rPr>
              <w:fldChar w:fldCharType="begin"/>
            </w:r>
            <w:r>
              <w:rPr>
                <w:noProof/>
                <w:webHidden/>
              </w:rPr>
              <w:instrText xml:space="preserve"> PAGEREF _Toc241485666 \h </w:instrText>
            </w:r>
            <w:r>
              <w:rPr>
                <w:noProof/>
                <w:webHidden/>
              </w:rPr>
            </w:r>
            <w:r>
              <w:rPr>
                <w:noProof/>
                <w:webHidden/>
              </w:rPr>
              <w:fldChar w:fldCharType="separate"/>
            </w:r>
            <w:r>
              <w:rPr>
                <w:noProof/>
                <w:webHidden/>
              </w:rPr>
              <w:t>30</w:t>
            </w:r>
            <w:r>
              <w:rPr>
                <w:noProof/>
                <w:webHidden/>
              </w:rPr>
              <w:fldChar w:fldCharType="end"/>
            </w:r>
          </w:hyperlink>
        </w:p>
        <w:p w14:paraId="043C57FA" w14:textId="6B3BF1FA" w:rsidR="009A0710" w:rsidRPr="002C2BAB" w:rsidRDefault="00000000" w:rsidP="002C2BAB">
          <w:pPr>
            <w:widowControl w:val="0"/>
            <w:tabs>
              <w:tab w:val="right" w:pos="12000"/>
            </w:tabs>
            <w:spacing w:before="60" w:after="0" w:line="240" w:lineRule="auto"/>
            <w:jc w:val="left"/>
            <w:rPr>
              <w:rFonts w:ascii="Arial" w:eastAsia="Arial" w:hAnsi="Arial" w:cs="Arial"/>
              <w:b/>
              <w:bCs/>
              <w:color w:val="000000"/>
            </w:rPr>
          </w:pPr>
          <w:r>
            <w:lastRenderedPageBreak/>
            <w:fldChar w:fldCharType="end"/>
          </w:r>
        </w:p>
      </w:sdtContent>
    </w:sdt>
    <w:p w14:paraId="1A07D4BC" w14:textId="44E9F7D1" w:rsidR="009A0710" w:rsidRDefault="00000000" w:rsidP="002C2BAB">
      <w:pPr>
        <w:pStyle w:val="Heading1"/>
        <w:ind w:left="0"/>
      </w:pPr>
      <w:bookmarkStart w:id="4" w:name="_Toc241485637"/>
      <w:r>
        <w:t>1. Executive Summary</w:t>
      </w:r>
      <w:bookmarkEnd w:id="4"/>
    </w:p>
    <w:p w14:paraId="3978EBA4" w14:textId="77777777" w:rsidR="009A0710" w:rsidRDefault="00000000">
      <w:r>
        <w:t>The population of older persons continues to grow rapidly on a global basis, placing increasing pressure on health and social care systems. Rising demand for services, increasing prevalence of chronic and multiple long-term conditions, workforce shortages, escalating care costs, and the need to support independent living are driving the need for more personalised, preventive, and coordinated approaches to care. A key consideration is how to provide affordable, accessible, and timely health and social care through the appropriate use of emerging technologies and innovative services.</w:t>
      </w:r>
    </w:p>
    <w:p w14:paraId="6EF4C705" w14:textId="77777777" w:rsidR="009A0710" w:rsidRDefault="00000000">
      <w:r>
        <w:t xml:space="preserve">The CHS Care project therefore endeavours to go beyond the current state of the art for older person care by developing a new platform that allows seamless access for stakeholders and integrates the latest wearables and sensors within an easy-to-use Software as a Service (SaaS) system to provide ongoing health and social care support within the place of stay. The platform is designed to address key challenges identified within the current landscape, including fragmented health and social care systems, increasing workforce pressures, limited interoperability between technologies, the need for earlier identification of risk and deterioration, and the challenge of providing coordinated and person-centred support for older adults living with chronic conditions. Central to the project is the objective of improving the quality of life, independence, health outcomes, and care experience of older persons, with technology acting as an enabler rather than an </w:t>
      </w:r>
      <w:proofErr w:type="gramStart"/>
      <w:r>
        <w:t>end in itself</w:t>
      </w:r>
      <w:proofErr w:type="gramEnd"/>
      <w:r>
        <w:t>. It incorporates digital twins, edge processing, and cutting-edge explainable AI-driven approaches with human-centred design principles to tackle use cases related to dementia, frailty, and other chronic conditions. By prioritising safety, interpretability, transparency, usability, and accessibility, and by developing tailored explanation and control interfaces for both older adults and caregivers, the project aims to deliver actionable insights and personalised recommendations that empower individuals in health management endeavours and foster enriched interactions with healthcare professionals, thereby setting new standards in the field of home-based health monitoring and care. In doing so, CHS-Care seeks to support proactive, data-informed, and integrated models of care that improve outcomes, independence, wellbeing, and quality of life for older persons while helping health and social care services use resources more effectively.</w:t>
      </w:r>
    </w:p>
    <w:p w14:paraId="3F83FFDB" w14:textId="77777777" w:rsidR="009A0710" w:rsidRDefault="00000000">
      <w:pPr>
        <w:pStyle w:val="Heading1"/>
        <w:ind w:left="0"/>
      </w:pPr>
      <w:bookmarkStart w:id="5" w:name="_Toc241485638"/>
      <w:r>
        <w:t>2. Introduction</w:t>
      </w:r>
      <w:bookmarkEnd w:id="5"/>
      <w:r>
        <w:t xml:space="preserve"> </w:t>
      </w:r>
    </w:p>
    <w:p w14:paraId="45FB43E8" w14:textId="77777777" w:rsidR="009A0710" w:rsidRDefault="00000000">
      <w:pPr>
        <w:pStyle w:val="Heading2"/>
        <w:ind w:left="0" w:firstLine="0"/>
      </w:pPr>
      <w:bookmarkStart w:id="6" w:name="_Toc241485639"/>
      <w:r>
        <w:t>2.1 Background and rationale</w:t>
      </w:r>
      <w:bookmarkEnd w:id="6"/>
    </w:p>
    <w:p w14:paraId="536902D5" w14:textId="77777777" w:rsidR="009A0710" w:rsidRDefault="00000000">
      <w:r>
        <w:t xml:space="preserve">The number of older persons is increasing in many parts of the world and particularly in Europe where it is estimated that by 2050, approximately 30% (130 million out of 342 million) of the population will comprise the older persons with an age of 65 and over (Eurostat Statistics </w:t>
      </w:r>
      <w:r>
        <w:lastRenderedPageBreak/>
        <w:t>Explained). This rising population has significant impacts on the economy, the healthcare sector, and especially older adults whose care must be managed either by themselves or through caregivers.</w:t>
      </w:r>
    </w:p>
    <w:p w14:paraId="7E9E8043" w14:textId="77777777" w:rsidR="009A0710" w:rsidRDefault="00000000">
      <w:r>
        <w:t>The CHS-Care project therefore aims to address in a more holistic and connected way the challenges posed by the growing older population, focusing on more efficient and improved health and social care delivery that results in improved outcomes. CHS-Care focuses on developing a patient centred, open and integrated platform and leverages digital health tech, wearables, sensors, AI and AI explainability. The platform empowers caregivers and healthcare professionals, to deliver more connected care and aims to reduce the number of hospital visits. At the same time, it improves the support to older persons by empowering them to take a proactive view of their health. This patient-centric, AI-driven platform targets seamless collaboration among stakeholders, improving data analysis, optimizing workflows, and ultimately enhancing patient care while supporting healthcare professionals.</w:t>
      </w:r>
    </w:p>
    <w:p w14:paraId="21AB9735" w14:textId="77777777" w:rsidR="009A0710" w:rsidRDefault="00000000">
      <w:pPr>
        <w:rPr>
          <w:sz w:val="32"/>
          <w:szCs w:val="32"/>
        </w:rPr>
      </w:pPr>
      <w:r>
        <w:rPr>
          <w:sz w:val="32"/>
          <w:szCs w:val="32"/>
        </w:rPr>
        <w:t>1.2 Methodology and review approach</w:t>
      </w:r>
    </w:p>
    <w:p w14:paraId="4ED49250" w14:textId="77777777" w:rsidR="009A0710" w:rsidRDefault="00000000">
      <w:r>
        <w:t xml:space="preserve">The CHS-Care consortium comprising of three countries Belgium, Portugal and the </w:t>
      </w:r>
      <w:proofErr w:type="gramStart"/>
      <w:r>
        <w:t>UK,  performed</w:t>
      </w:r>
      <w:proofErr w:type="gramEnd"/>
      <w:r>
        <w:t xml:space="preserve"> a detailed desktop research looking at the key approaches to older person care, firstly from a general historical perspective,  then looking at the last five years and lastly also looking ahead to the next five to ten years when the CHS-Care platform could be introduced to the market and have some impact. The key parts of the review covered the following aspects, how is care provided to older persons? What role does digital technology play? And what are the common challenges that are being faced in the countries represented and more widely? In addition, the review covers the emerging trends in technology and care, and role of continuous remote monitoring.</w:t>
      </w:r>
    </w:p>
    <w:p w14:paraId="4BFDDA88" w14:textId="77777777" w:rsidR="009A0710" w:rsidRDefault="00000000">
      <w:r>
        <w:t xml:space="preserve">The additional review topics in </w:t>
      </w:r>
      <w:proofErr w:type="gramStart"/>
      <w:r>
        <w:t>state of the art</w:t>
      </w:r>
      <w:proofErr w:type="gramEnd"/>
      <w:r>
        <w:t xml:space="preserve"> cover aspects of the technologies being developed as part of CHS-Care and this covers integrated platforms, IoT devices integrations (wearables and sensors), early detection for chronic conditions including frailty and dementia. Lastly the review covers the technological aspects of digital twins/edge computing, and explainable AI approaches.</w:t>
      </w:r>
    </w:p>
    <w:p w14:paraId="64B57A95" w14:textId="77777777" w:rsidR="009A0710" w:rsidRDefault="00000000">
      <w:pPr>
        <w:pStyle w:val="Heading1"/>
        <w:ind w:left="0"/>
      </w:pPr>
      <w:bookmarkStart w:id="7" w:name="_Toc241485640"/>
      <w:r>
        <w:t>3. Technological and Market Overview of Older Adult Care</w:t>
      </w:r>
      <w:bookmarkEnd w:id="7"/>
    </w:p>
    <w:p w14:paraId="212C848A" w14:textId="77777777" w:rsidR="009A0710" w:rsidRDefault="00000000">
      <w:pPr>
        <w:pStyle w:val="Heading2"/>
        <w:ind w:left="0" w:firstLine="0"/>
      </w:pPr>
      <w:bookmarkStart w:id="8" w:name="_Toc241485641"/>
      <w:r>
        <w:t>3.1 Market review</w:t>
      </w:r>
      <w:bookmarkEnd w:id="8"/>
    </w:p>
    <w:p w14:paraId="43E576E0" w14:textId="77777777" w:rsidR="009A0710" w:rsidRDefault="00000000">
      <w:r>
        <w:t xml:space="preserve">The problem of how older persons are cared for, especially those with chronic conditions (dementia, frailty etc), in an efficient and cost-effective way is increasing year by year as the number of the elderly in the population rises and the birth rate remains low. This situation places </w:t>
      </w:r>
      <w:r>
        <w:lastRenderedPageBreak/>
        <w:t>a tremendous strain on families and governments as there are a limited number of carers, a finite number of care/nursing homes and limited finances. Currently individuals who required care at older age have several options:</w:t>
      </w:r>
    </w:p>
    <w:p w14:paraId="550E59EC" w14:textId="77777777" w:rsidR="009A0710" w:rsidRDefault="00000000">
      <w:pPr>
        <w:numPr>
          <w:ilvl w:val="0"/>
          <w:numId w:val="2"/>
        </w:numPr>
        <w:spacing w:after="0"/>
      </w:pPr>
      <w:r>
        <w:t xml:space="preserve">Home based or domiciliary care- where an individual lives in their own home and professional carers or family members provide support with daily living </w:t>
      </w:r>
    </w:p>
    <w:p w14:paraId="229C97D1" w14:textId="77777777" w:rsidR="009A0710" w:rsidRDefault="00000000">
      <w:pPr>
        <w:numPr>
          <w:ilvl w:val="0"/>
          <w:numId w:val="2"/>
        </w:numPr>
        <w:spacing w:after="0"/>
      </w:pPr>
      <w:r>
        <w:t>Community &amp; semi-independent living- Village type models where individuals with similar needs live have some independence and have specialized on call care staff (</w:t>
      </w:r>
      <w:hyperlink r:id="rId9" w:anchor="NaN">
        <w:r>
          <w:rPr>
            <w:color w:val="1155CC"/>
            <w:u w:val="single"/>
          </w:rPr>
          <w:t xml:space="preserve">The </w:t>
        </w:r>
        <w:proofErr w:type="spellStart"/>
        <w:r>
          <w:rPr>
            <w:color w:val="1155CC"/>
            <w:u w:val="single"/>
          </w:rPr>
          <w:t>Hogeweyk</w:t>
        </w:r>
        <w:proofErr w:type="spellEnd"/>
      </w:hyperlink>
      <w:r>
        <w:t>, in the Netherlands).</w:t>
      </w:r>
    </w:p>
    <w:p w14:paraId="6C78E1AC" w14:textId="77777777" w:rsidR="009A0710" w:rsidRDefault="00000000">
      <w:pPr>
        <w:numPr>
          <w:ilvl w:val="0"/>
          <w:numId w:val="2"/>
        </w:numPr>
        <w:spacing w:after="0"/>
      </w:pPr>
      <w:r>
        <w:t xml:space="preserve">Residential care- which are dedicated facilities that provide support with activities that manage an individual's basic physical needs and maintain independence. </w:t>
      </w:r>
    </w:p>
    <w:p w14:paraId="74767EE3" w14:textId="77777777" w:rsidR="009A0710" w:rsidRDefault="00000000">
      <w:pPr>
        <w:numPr>
          <w:ilvl w:val="0"/>
          <w:numId w:val="2"/>
        </w:numPr>
      </w:pPr>
      <w:r>
        <w:t>Nursing Homes - which provides registered nurses on site for providing medical support.</w:t>
      </w:r>
    </w:p>
    <w:p w14:paraId="00EED0F7" w14:textId="77777777" w:rsidR="009A0710" w:rsidRDefault="00000000">
      <w:r>
        <w:t xml:space="preserve">Currently where an individual decides to stay is based on their health and financial situation.  Certain countries such as Nordic ones rely on heavily subsided public care based on tax funded systems. Whereas in other countries such as the UK, care is based on an individual's circumstances (assets, pension and savings). Sometimes older persons are required to sell homes or use up savings first before being considered for state funded options.  </w:t>
      </w:r>
    </w:p>
    <w:p w14:paraId="64D34901" w14:textId="77777777" w:rsidR="009A0710" w:rsidRDefault="00000000">
      <w:r>
        <w:t xml:space="preserve">In addition, the shortage of nurses in Europe is a pressing issue characterized by an insufficient number of qualified nursing professionals. Leveraging technology is crucial to support healthcare professionals, encompassing the development of user-friendly platforms, innovative applications, and integrated systems. The technology aims to promote seamless and efficient work.  Various platform systems are available, but each of them addresses only a distinct aspect of the integrated care challenge and are not patient centric. </w:t>
      </w:r>
    </w:p>
    <w:p w14:paraId="18A48AD3" w14:textId="77777777" w:rsidR="009A0710" w:rsidRDefault="00000000">
      <w:r>
        <w:t>Market analysis by each country is briefly represented below:</w:t>
      </w:r>
    </w:p>
    <w:p w14:paraId="7B6E8F53" w14:textId="77777777" w:rsidR="009A0710" w:rsidRDefault="00000000">
      <w:r>
        <w:rPr>
          <w:b/>
          <w:bCs/>
        </w:rPr>
        <w:t>Belgium</w:t>
      </w:r>
      <w:r>
        <w:br/>
        <w:t>Already in 2018, there are more than 2 million people in Belgium aged 65 years or more, and the ageing population is expected to further increase in future, at least until 2070. The proportion of the population aged 67 years and over, is estimated to increase from 16.5% in 2018 to 22.9% in 2070 (</w:t>
      </w:r>
      <w:proofErr w:type="spellStart"/>
      <w:r>
        <w:t>Geukens</w:t>
      </w:r>
      <w:proofErr w:type="spellEnd"/>
      <w:r>
        <w:t xml:space="preserve"> 2020). According to (Nguyen 2019) 37.3% of the people aged 65+ are pre-frailty and 22.8% frail and the number of people with dementia has risen to 220 000 (stopAlzheimer.be). For people aged over 65 the number is almost 10%, for people over 85 this is already 26% and for people over 90 more than 35%. Following the growth of the elderly population, also the number of people with dementia will experience exponential growth. Overall, in Flanders about 31.4% of the people aged 65-74 and 54.1% of people aged 75+ are suffering from chronic conditions (</w:t>
      </w:r>
      <w:proofErr w:type="spellStart"/>
      <w:r>
        <w:t>StadsMon</w:t>
      </w:r>
      <w:proofErr w:type="spellEnd"/>
      <w:r>
        <w:t>).</w:t>
      </w:r>
    </w:p>
    <w:p w14:paraId="5B7D58B7" w14:textId="77777777" w:rsidR="009A0710" w:rsidRDefault="00000000">
      <w:pPr>
        <w:rPr>
          <w:b/>
          <w:bCs/>
        </w:rPr>
      </w:pPr>
      <w:r>
        <w:rPr>
          <w:b/>
          <w:bCs/>
        </w:rPr>
        <w:t xml:space="preserve">Portugal </w:t>
      </w:r>
    </w:p>
    <w:p w14:paraId="72C13E2B" w14:textId="77777777" w:rsidR="009A0710" w:rsidRDefault="00000000">
      <w:r>
        <w:t xml:space="preserve">The elderly care market is growing, driven by an aging global population and more chronic diseases. Services vary from institutional care to home care and technology. Portugal, with its </w:t>
      </w:r>
      <w:r>
        <w:lastRenderedPageBreak/>
        <w:t xml:space="preserve">elderly population growing by 20.6% over the last decade to 23.4% of its population, has the third-oldest population in Europe, based on data from the Instituto Nacional de </w:t>
      </w:r>
      <w:proofErr w:type="spellStart"/>
      <w:r>
        <w:t>Estatística</w:t>
      </w:r>
      <w:proofErr w:type="spellEnd"/>
      <w:r>
        <w:t xml:space="preserve"> (INE). According to Eurostat, it's expected to be the oldest by 2050 and has a fast-aging rate. Home care is rising due to a preference for personalized care, with private providers leading this growth. While Portugal is one of the countries with the highest average life expectancy in Europe, it also has the lowest average number of healthy seniors. According to studies, 55,000 additional beds in nursing homes will be needed to respond to this demographic evolution, highlighting the attractiveness of these assets to private investors, among others. The Healthcare IoT market in Portugal is set to reach $0.85 billion in 2024 and grow annually by 11.42%, aiming for $1.31 billion by 2028. </w:t>
      </w:r>
    </w:p>
    <w:p w14:paraId="7A7AE1B7" w14:textId="77777777" w:rsidR="009A0710" w:rsidRDefault="00000000">
      <w:pPr>
        <w:rPr>
          <w:b/>
          <w:bCs/>
        </w:rPr>
      </w:pPr>
      <w:r>
        <w:rPr>
          <w:b/>
          <w:bCs/>
        </w:rPr>
        <w:t>United Kingdom</w:t>
      </w:r>
    </w:p>
    <w:p w14:paraId="57323179" w14:textId="77777777" w:rsidR="009A0710" w:rsidRDefault="00000000">
      <w:r>
        <w:t xml:space="preserve">According to the December 2021 update of the Health Forecast Review (HFR), the UK is projected to witness a doubling of the population aged over 85 to 2.6 million in the next 25 years. Based on a report by Mordor Intelligence, the overall remote monitoring market for the UK in 2024, has been estimated as 2.4 billion Euros, and is expected to grow by compound annual growth rate (CAGR) of 8.5% and rise to a value of 3.6 billion Euros by 2029. The anticipated market growth during the 2024 to 2029 is likely to be influenced by factors such as the escalating burden of chronic diseases, a growing geriatric population, and strategic initiatives by major market players. Given the association between increasing age with adverse medical conditions such as frailty and chronic diseases such as dementia, therefore the expanding geriatric demographic is expected to positively impact the market. The surge in this population is also likely to drive demand for patient monitoring devices due to increased disease prevalence and increased dependency on healthcare services. </w:t>
      </w:r>
    </w:p>
    <w:p w14:paraId="3BA0E2DF" w14:textId="77777777" w:rsidR="009A0710" w:rsidRDefault="00000000">
      <w:pPr>
        <w:pStyle w:val="Heading2"/>
        <w:ind w:left="0" w:firstLine="0"/>
      </w:pPr>
      <w:bookmarkStart w:id="9" w:name="_Toc241485642"/>
      <w:r>
        <w:t>3.2 Key Challenges</w:t>
      </w:r>
      <w:bookmarkEnd w:id="9"/>
    </w:p>
    <w:p w14:paraId="262C5EC7" w14:textId="77777777" w:rsidR="009A0710" w:rsidRDefault="00000000">
      <w:r>
        <w:t>There are many challenges related to older person care and these can be separated into two categories, how to deal with an ageing population's easy access to satisfy health and social care needs and how to utilise existing and new technologies particularly artificial intelligence that keeps user centricity and empathy at its core.</w:t>
      </w:r>
    </w:p>
    <w:p w14:paraId="0F3CC300" w14:textId="77777777" w:rsidR="009A0710" w:rsidRDefault="00000000">
      <w:r>
        <w:t>The challenges with accessing the appropriate care by older persons is common to many countries regardless of global location. These can generally be broken down into the following:</w:t>
      </w:r>
    </w:p>
    <w:p w14:paraId="29118E26" w14:textId="77777777" w:rsidR="009A0710" w:rsidRDefault="00000000">
      <w:pPr>
        <w:numPr>
          <w:ilvl w:val="0"/>
          <w:numId w:val="1"/>
        </w:numPr>
        <w:spacing w:after="0"/>
      </w:pPr>
      <w:r>
        <w:t>Accessibility issues: Convenience of easily making appointments at the right time, and location is accessible to receive required services.</w:t>
      </w:r>
    </w:p>
    <w:p w14:paraId="218715A8" w14:textId="77777777" w:rsidR="009A0710" w:rsidRDefault="00000000">
      <w:pPr>
        <w:numPr>
          <w:ilvl w:val="0"/>
          <w:numId w:val="1"/>
        </w:numPr>
        <w:spacing w:after="0"/>
      </w:pPr>
      <w:r>
        <w:t>Lack of professional healthcare support- Appropriately trained individuals are available at required time, who understand the older person's needs and can take suitable action to meet requirements.</w:t>
      </w:r>
    </w:p>
    <w:p w14:paraId="56569D4E" w14:textId="77777777" w:rsidR="009A0710" w:rsidRDefault="00000000">
      <w:pPr>
        <w:numPr>
          <w:ilvl w:val="0"/>
          <w:numId w:val="1"/>
        </w:numPr>
      </w:pPr>
      <w:r>
        <w:t xml:space="preserve">Technological challenges: Integrated healthcare systems and connected devices as a service are affordable and can be easily utilised independently by older persons within </w:t>
      </w:r>
      <w:r>
        <w:lastRenderedPageBreak/>
        <w:t>their home (private or within a nursing/care home) or supported by carers or healthcare workers to collect necessary data on an ad hoc or continuous basis. Also, a system that allows data analytics to be performed by explainable AI and can constantly reproduce trustworthy and reliable outputs as required such as care plans and actions to alerts.</w:t>
      </w:r>
    </w:p>
    <w:p w14:paraId="53DD99EB" w14:textId="77777777" w:rsidR="009A0710" w:rsidRDefault="00000000">
      <w:pPr>
        <w:pStyle w:val="Heading2"/>
        <w:ind w:left="0" w:firstLine="0"/>
      </w:pPr>
      <w:bookmarkStart w:id="10" w:name="_Toc241485643"/>
      <w:r>
        <w:t>3.3 Emerging methods, tools and technological advances</w:t>
      </w:r>
      <w:bookmarkEnd w:id="10"/>
    </w:p>
    <w:p w14:paraId="7766AB61" w14:textId="77777777" w:rsidR="009A0710" w:rsidRDefault="00000000">
      <w:r>
        <w:t>The project aims to ensure that the CHS-Care platform meets the challenges of older person care by integrating existing IoT sensors and wearables, within the older persons care environment by capitalizing on current research without developing new hardware. This initiative addresses the growing need for systems that support the well-being and autonomy of the elderly, leveraging IoT wearables, AI, and sensor technologies rapid advancements. These technologies are pivotal for remote, reliable elderly care, confronting age-related challenges and facilitating ambient assisted living environments. Recent developments show a trend towards combining AI with wearable and ambient sensor technologies to improve health monitoring systems' autonomy and precision. Robotics and AI are being integrated within the Internet of Robotic Things framework to offer comprehensive care solutions, enhancing the physical and emotional well-being of the elderly. Innovations also involve using deep learning for fall detection and computer vision for action recognition, making surveillance less intrusive and more effective. Despite challenges like privacy concerns and the complexity of interpreting sensor data, advancements are geared towards adaptive, responsive systems that enhance elderly independence and safety. A review by Escobar-</w:t>
      </w:r>
      <w:proofErr w:type="spellStart"/>
      <w:r>
        <w:t>Linero</w:t>
      </w:r>
      <w:proofErr w:type="spellEnd"/>
      <w:r>
        <w:t xml:space="preserve"> et al., 2023 highlights the increasing sophistication of wearable health devices, particularly smartwatches with advanced sensors for monitoring physical activity and cardiac information. Future trends point towards wearables with integrated sophisticated processing algorithms, indicating a shift towards more capable and less intrusive elderly care technologies.</w:t>
      </w:r>
    </w:p>
    <w:p w14:paraId="38C98E5E" w14:textId="77777777" w:rsidR="009A0710" w:rsidRDefault="00000000">
      <w:pPr>
        <w:rPr>
          <w:b/>
          <w:bCs/>
        </w:rPr>
      </w:pPr>
      <w:r>
        <w:rPr>
          <w:b/>
          <w:bCs/>
        </w:rPr>
        <w:t>Data analysis and human centred AI Models</w:t>
      </w:r>
    </w:p>
    <w:p w14:paraId="276775CE" w14:textId="77777777" w:rsidR="009A0710" w:rsidRDefault="00000000">
      <w:r>
        <w:t xml:space="preserve">Explainability is crucial to support a better understanding, and to address key challenges related to the lack of trust and barriers to adoption of AI. Recent work focuses not only on explainability, but also on interactive, mixed initiative approaches that enable users to improve the accuracy of models by providing feedback. Examples include enabling non-technical end-users to annotate the data and to suggest corrections. Despite the rich set of explanation methods that have been proposed in research, recent work suggests non-technical end-users often have difficulty interpreting the results of the explanations. Most of the existing efforts are focused on algorithm developers rather than non-technical end-users, i.e., users such as caregivers and healthcare professionals who have a lot of knowledge on the person but have little or no knowledge of AI. While natural language explanations are efficient and easy-to-use for non-experts, the majority of XAI systems relies on complex visual representations of AI models and their features. Existing methods are also static and provide only limited explanations of a single decision. Moreover, explanations by themselves are of little use unless they empower to act, such as asking a follow-up question or steering the model with feedback. Recent work on explanatory interactive learning </w:t>
      </w:r>
      <w:r>
        <w:lastRenderedPageBreak/>
        <w:t xml:space="preserve">is of particular interest. The key idea of explanatory interactive learning is to explain the model prediction to the user as a basis for users to correct the reasoning in the explanations. Other approaches have been proposed that enable users to inspect model parameters, such as features, and their weights or rules used to make decisions and enable users to modify these parameters. Of particular interest here are model-agnostic explanations that decouple the explanation from the model, also researched under the umbrella of justification of models. While such model-agnostic explanations have been researched by </w:t>
      </w:r>
      <w:proofErr w:type="spellStart"/>
      <w:r>
        <w:t>Teso</w:t>
      </w:r>
      <w:proofErr w:type="spellEnd"/>
      <w:r>
        <w:t xml:space="preserve"> and </w:t>
      </w:r>
      <w:proofErr w:type="spellStart"/>
      <w:r>
        <w:t>Kersting</w:t>
      </w:r>
      <w:proofErr w:type="spellEnd"/>
      <w:r>
        <w:t xml:space="preserve"> (2019), the approach is limited to LIME explanations that are used in an active learning context. </w:t>
      </w:r>
    </w:p>
    <w:p w14:paraId="471F2884" w14:textId="77777777" w:rsidR="009A0710" w:rsidRDefault="00000000">
      <w:r>
        <w:t>Finally, whereas several XAI applications for healthcare have already been elaborated, not many are focused on geriatric care and very few systems have gone through multiple detailed long-term case studies. While these systems demonstrate the usefulness of their features in one or two isolated medical case studies, the results are harder to generalize. Therefore, these XAI efforts rarely make broader generalizations about their techniques.</w:t>
      </w:r>
    </w:p>
    <w:p w14:paraId="11623123" w14:textId="77777777" w:rsidR="009A0710" w:rsidRDefault="00000000">
      <w:pPr>
        <w:pStyle w:val="Heading1"/>
        <w:ind w:left="0"/>
      </w:pPr>
      <w:bookmarkStart w:id="11" w:name="_Toc241485644"/>
      <w:r>
        <w:t>4. Remote and Continuous Monitoring Platforms</w:t>
      </w:r>
      <w:bookmarkEnd w:id="11"/>
    </w:p>
    <w:p w14:paraId="7F03D5BE" w14:textId="77777777" w:rsidR="009A0710" w:rsidRDefault="00000000">
      <w:pPr>
        <w:spacing w:after="120"/>
      </w:pPr>
      <w:r>
        <w:t xml:space="preserve">Remote and continuous monitoring platforms have emerged as an important component of modern health and social care systems, enabling the collection of health and wellbeing information outside traditional care settings. </w:t>
      </w:r>
      <w:proofErr w:type="gramStart"/>
      <w:r>
        <w:t>Through the use of</w:t>
      </w:r>
      <w:proofErr w:type="gramEnd"/>
      <w:r>
        <w:t xml:space="preserve"> connected devices, sensors, communication technologies, and data analytics, these platforms support ongoing observation of an individual's condition, allowing care providers to identify changes in health status, detect potential risks, and intervene proactively. Such approaches are particularly relevant in the context of older person care, where maintaining independence, supporting ageing in place, and enabling timely interventions are key objectives.</w:t>
      </w:r>
    </w:p>
    <w:p w14:paraId="512BC58B" w14:textId="77777777" w:rsidR="009A0710" w:rsidRDefault="00000000">
      <w:pPr>
        <w:spacing w:after="120"/>
      </w:pPr>
      <w:r>
        <w:t>The adoption of remote monitoring technologies has accelerated in response to increasing demand for community-based care, growing prevalence of chronic conditions, and pressures on healthcare resources. Remote monitoring can support a range of applications including vital sign monitoring, activity tracking, medication adherence, symptom reporting, and the management of long-term conditions. More recent developments have incorporated artificial intelligence, advanced analytics, and integration with digital health platforms to enhance decision support and care coordination.</w:t>
      </w:r>
    </w:p>
    <w:p w14:paraId="17465884" w14:textId="77777777" w:rsidR="009A0710" w:rsidRDefault="00000000">
      <w:pPr>
        <w:spacing w:after="120"/>
      </w:pPr>
      <w:r>
        <w:t>Despite growing adoption and technological maturity, remote monitoring remains characterised by a fragmented landscape of platforms, devices, and information systems. Understanding the architectures, capabilities, and limitations of current solutions is therefore important in assessing the role that remote and continuous monitoring can play in supporting integrated health and social care for older persons</w:t>
      </w:r>
    </w:p>
    <w:p w14:paraId="00BE6C77" w14:textId="77777777" w:rsidR="009A0710" w:rsidRDefault="00000000">
      <w:pPr>
        <w:pStyle w:val="Heading2"/>
      </w:pPr>
      <w:bookmarkStart w:id="12" w:name="_Toc241485645"/>
      <w:r>
        <w:lastRenderedPageBreak/>
        <w:t>4.1 Current Platforms and Architectures</w:t>
      </w:r>
      <w:bookmarkEnd w:id="12"/>
    </w:p>
    <w:p w14:paraId="2453C0A9" w14:textId="77777777" w:rsidR="009A0710" w:rsidRDefault="00000000">
      <w:r>
        <w:t>Remote and continuous monitoring platforms are designed to support the collection, transmission, analysis, and presentation of health and wellbeing information outside traditional care settings. These platforms typically combine connected medical devices, wearable technologies, environmental sensors, mobile applications, cloud-based services, and clinical dashboards to enable ongoing monitoring of an individual's condition. By supporting the continuous collection of data and the generation of alerts, these systems can facilitate earlier identification of deterioration, support proactive interventions, and enable care to be delivered closer to home.</w:t>
      </w:r>
    </w:p>
    <w:p w14:paraId="3D045565" w14:textId="5A0AAE6C" w:rsidR="009A0710" w:rsidRDefault="00000000">
      <w:r>
        <w:t>A typical remote monitoring architecture comprises four layers. The first layer focuses on data acquisition, where information is collected from devices such as blood pressure monitors, pulse oximeters, weighing scales, activity trackers, smartwatches, environmental sensors, and patient-reported outcome measures. The second layer enables secure communication and data transmission through smartphones, home hubs, or internet-connected gateways (edge devices). The third layer consists of data storage and analytics services, often cloud-based, where monitoring data are aggregated, analysed, and used to generate alerts, risk scores, and decision-support information. The final layer presents information through dashboards and care management applications used by healthcare professionals, social care providers, carers, and service users.</w:t>
      </w:r>
    </w:p>
    <w:p w14:paraId="6A4CCC5F" w14:textId="77777777" w:rsidR="009A0710" w:rsidRDefault="00000000">
      <w:r>
        <w:t>Recent developments have expanded these architectures beyond simple threshold-based alerting systems. Many platforms now incorporate artificial intelligence, predictive analytics, and decision-support capabilities to support risk assessment, prioritisation of interventions, and proactive care management. Integration with electronic patient records and care management systems is also increasingly important to enable information sharing between stakeholders and support more coordinated models of care.</w:t>
      </w:r>
    </w:p>
    <w:p w14:paraId="1F4939B2" w14:textId="77777777" w:rsidR="009A0710" w:rsidRDefault="00000000">
      <w:r>
        <w:t xml:space="preserve">A growing number of commercial platforms exist across Europe and beyond. Examples include </w:t>
      </w:r>
      <w:proofErr w:type="spellStart"/>
      <w:r>
        <w:t>Doccla</w:t>
      </w:r>
      <w:proofErr w:type="spellEnd"/>
      <w:r>
        <w:t xml:space="preserve">, </w:t>
      </w:r>
      <w:proofErr w:type="spellStart"/>
      <w:r>
        <w:t>Docobo</w:t>
      </w:r>
      <w:proofErr w:type="spellEnd"/>
      <w:r>
        <w:t xml:space="preserve">, and Current Health in the UK, </w:t>
      </w:r>
      <w:proofErr w:type="spellStart"/>
      <w:r>
        <w:t>Medixine</w:t>
      </w:r>
      <w:proofErr w:type="spellEnd"/>
      <w:r>
        <w:t xml:space="preserve"> in Finland, Siemens </w:t>
      </w:r>
      <w:proofErr w:type="spellStart"/>
      <w:r>
        <w:t>Healthineers</w:t>
      </w:r>
      <w:proofErr w:type="spellEnd"/>
      <w:r>
        <w:t xml:space="preserve"> and Philips across Europe, as well as </w:t>
      </w:r>
      <w:proofErr w:type="spellStart"/>
      <w:r>
        <w:t>Televic</w:t>
      </w:r>
      <w:proofErr w:type="spellEnd"/>
      <w:r>
        <w:t xml:space="preserve"> Healthcare, </w:t>
      </w:r>
      <w:proofErr w:type="spellStart"/>
      <w:r>
        <w:t>BeWell</w:t>
      </w:r>
      <w:proofErr w:type="spellEnd"/>
      <w:r>
        <w:t xml:space="preserve"> Innovations, </w:t>
      </w:r>
      <w:proofErr w:type="spellStart"/>
      <w:r>
        <w:t>NexusHealth</w:t>
      </w:r>
      <w:proofErr w:type="spellEnd"/>
      <w:r>
        <w:t xml:space="preserve">, and </w:t>
      </w:r>
      <w:proofErr w:type="spellStart"/>
      <w:r>
        <w:t>Corilus</w:t>
      </w:r>
      <w:proofErr w:type="spellEnd"/>
      <w:r>
        <w:t xml:space="preserve"> in Belgium. These solutions support a variety of use cases including virtual wards, chronic disease management, post-discharge monitoring, remote consultations, and independent living support. However, their focus, functionality, integration capabilities, and target user groups vary considerably.</w:t>
      </w:r>
    </w:p>
    <w:p w14:paraId="57372BB1" w14:textId="77777777" w:rsidR="009A0710" w:rsidRDefault="00000000">
      <w:r>
        <w:t>Many established platforms benefit from strong relationships with healthcare providers and integration into existing clinical workflows. As a result, replacing deployed solutions can be challenging due to data migration requirements, staff training needs, integration costs, and user familiarity with existing systems. Consequently, the remote monitoring landscape remains characterised by a diverse range of solutions with varying degrees of maturity, interoperability, and support for integrated health and social care.</w:t>
      </w:r>
    </w:p>
    <w:p w14:paraId="7A9410D2" w14:textId="77777777" w:rsidR="009A0710" w:rsidRDefault="00000000">
      <w:pPr>
        <w:pStyle w:val="Heading2"/>
      </w:pPr>
      <w:bookmarkStart w:id="13" w:name="_Toc241485646"/>
      <w:r>
        <w:lastRenderedPageBreak/>
        <w:t>4.2 Key Challenges</w:t>
      </w:r>
      <w:bookmarkEnd w:id="13"/>
    </w:p>
    <w:p w14:paraId="1D563B3B" w14:textId="77777777" w:rsidR="009A0710" w:rsidRDefault="00000000">
      <w:r>
        <w:t>Despite growing adoption and demonstrated benefits, remote and continuous monitoring platforms face several limitations that constrain their effectiveness and large-scale deployment. Existing solutions often focus on specific clinical conditions or care pathways and typically support a limited range of devices, sensing modalities, and monitored parameters. As a result, they may not provide a sufficiently holistic view of an individual's health, wellbeing, functional status, and care needs, particularly for older persons living with multiple long-term conditions.</w:t>
      </w:r>
    </w:p>
    <w:p w14:paraId="102B127D" w14:textId="77777777" w:rsidR="009A0710" w:rsidRDefault="00000000">
      <w:r>
        <w:t>A further challenge relates to the fragmented nature of health and social care information systems. Remote monitoring platforms are frequently required to exchange information with multiple electronic patient record systems, care management platforms, and third-party applications, many of which use different data standards and interfaces. This can create interoperability barriers and limit effective information sharing across organisations and care settings. Consequently, there is growing interest in approaches that can integrate information from diverse sources to support a more comprehensive and coordinated view of an individual's health and care status</w:t>
      </w:r>
    </w:p>
    <w:p w14:paraId="5F7106E5" w14:textId="77777777" w:rsidR="009A0710" w:rsidRDefault="00000000">
      <w:r>
        <w:t>Data quality, completeness, and reliability also remain important considerations. Monitoring solutions depend on the accurate collection and interpretation of information from multiple sources, including wearable devices, environmental sensors, mobile applications, and patient-reported information. Variations in device accuracy, user adherence, missing data, and inconsistent reporting can affect the reliability of generated insights and decision-support outputs.</w:t>
      </w:r>
    </w:p>
    <w:p w14:paraId="0E2275F5" w14:textId="77777777" w:rsidR="009A0710" w:rsidRDefault="00000000">
      <w:r>
        <w:t>The increasing volume of monitoring data presents additional challenges. While remote monitoring enables continuous collection of information, the primary objective is not simply to gather more data but to identify and capture information that is relevant, meaningful, and actionable. Healthcare professionals and care providers require systems that can transform diverse data streams into clear insights that support timely and evidence-based decision making without creating additional workload or contributing to alert fatigue.</w:t>
      </w:r>
    </w:p>
    <w:p w14:paraId="5B13E7A8" w14:textId="77777777" w:rsidR="009A0710" w:rsidRDefault="00000000">
      <w:r>
        <w:t>Privacy, security, and governance requirements also remain significant considerations, particularly where sensitive personal and health information is collected across multiple devices, locations, and organisations. Ensuring secure data exchange, regulatory compliance, and appropriate management of consent continues to be an important requirement for large-scale deployment.</w:t>
      </w:r>
    </w:p>
    <w:p w14:paraId="25AB05F4" w14:textId="77777777" w:rsidR="009A0710" w:rsidRDefault="00000000">
      <w:r>
        <w:t>Overall, while remote and continuous monitoring platforms have become an important component of modern health and social care delivery, further work is required to improve interoperability, integration, scalability, data quality, and the generation of clinically meaningful insights that support coordinated and person-centred care</w:t>
      </w:r>
    </w:p>
    <w:p w14:paraId="2D102707" w14:textId="77777777" w:rsidR="009A0710" w:rsidRDefault="00000000">
      <w:pPr>
        <w:pStyle w:val="Heading1"/>
      </w:pPr>
      <w:bookmarkStart w:id="14" w:name="_Toc241485647"/>
      <w:r>
        <w:lastRenderedPageBreak/>
        <w:t>5. Wearable Devices and IoT sensors</w:t>
      </w:r>
      <w:bookmarkEnd w:id="14"/>
    </w:p>
    <w:p w14:paraId="5FB5F2A9" w14:textId="77777777" w:rsidR="009A0710" w:rsidRDefault="00000000">
      <w:r>
        <w:t>Wearable devices and Internet of Things (IoT) sensors play an increasingly important role in supporting older person care through the continuous collection of health, behavioural, and environmental data. Advances in sensing technologies, miniaturisation, wireless communications, and artificial intelligence have enabled the development of a wide range of monitoring solutions capable of supporting independent living, early detection of health deterioration, and proactive interventions. These technologies can capture information relating to physiological parameters, activity patterns, mobility, behaviour, social interaction, and environmental conditions, providing valuable insights for older persons, carers, healthcare professionals, and social care providers.</w:t>
      </w:r>
    </w:p>
    <w:p w14:paraId="622B234C" w14:textId="77777777" w:rsidR="009A0710" w:rsidRDefault="00000000">
      <w:r>
        <w:t>A diverse range of sensing approaches are now available, including wearable devices, environmental sensors, cameras, smartphones, and audio-based technologies. Collectively, these technologies contribute to remote and continuous monitoring by enabling the collection of objective and patient-generated information in real-world settings. However, challenges remain regarding accuracy, reliability, user acceptance, privacy, interoperability, and the effective translation of monitoring data into meaningful and actionable insights. The following sections review the current state of the art across these technology domains and their application within older person care</w:t>
      </w:r>
    </w:p>
    <w:p w14:paraId="2BF5F5A6" w14:textId="77777777" w:rsidR="009A0710" w:rsidRDefault="00000000">
      <w:pPr>
        <w:pStyle w:val="Heading2"/>
        <w:keepNext w:val="0"/>
        <w:keepLines w:val="0"/>
        <w:spacing w:before="200" w:after="100"/>
        <w:ind w:left="0" w:firstLine="0"/>
        <w:rPr>
          <w:sz w:val="24"/>
          <w:szCs w:val="24"/>
        </w:rPr>
      </w:pPr>
      <w:bookmarkStart w:id="15" w:name="_Toc241485648"/>
      <w:r>
        <w:rPr>
          <w:sz w:val="24"/>
          <w:szCs w:val="24"/>
        </w:rPr>
        <w:t>5.1 Wearables (bracelets, smartwatches, portable ECG devices, PERS)</w:t>
      </w:r>
      <w:bookmarkEnd w:id="15"/>
    </w:p>
    <w:p w14:paraId="15DDAF62" w14:textId="77777777" w:rsidR="009A0710" w:rsidRDefault="00000000">
      <w:pPr>
        <w:spacing w:after="120"/>
      </w:pPr>
      <w:r>
        <w:t xml:space="preserve">Wearables are central to personal health monitoring, enabling continuous, non-invasive collection of physiological (HR, </w:t>
      </w:r>
      <w:proofErr w:type="spellStart"/>
      <w:r>
        <w:t>SpO</w:t>
      </w:r>
      <w:proofErr w:type="spellEnd"/>
      <w:r>
        <w:t xml:space="preserve">₂, ECG, temperature) and activity data. Consumer smartwatches (Apple Watch, Samsung Galaxy Watch, Pixel Watch) now bundle fall detection, regulator-approved ECG, </w:t>
      </w:r>
      <w:proofErr w:type="spellStart"/>
      <w:r>
        <w:t>SpO</w:t>
      </w:r>
      <w:proofErr w:type="spellEnd"/>
      <w:r>
        <w:t>₂, and arrhythmia alerts, converging with medical devices. In parallel, PERS devices (necklace/bracelet with SOS and fall detection) target very elderly users through simplicity and long battery life, often with integrated cellular connectivity.</w:t>
      </w:r>
    </w:p>
    <w:p w14:paraId="749E006A" w14:textId="77777777" w:rsidR="009A0710" w:rsidRDefault="00000000">
      <w:pPr>
        <w:spacing w:before="120" w:after="80"/>
        <w:rPr>
          <w:b/>
          <w:bCs/>
          <w:i/>
          <w:iCs/>
        </w:rPr>
      </w:pPr>
      <w:r>
        <w:rPr>
          <w:b/>
          <w:bCs/>
          <w:i/>
          <w:iCs/>
        </w:rPr>
        <w:t>Table 1 – Relevant Wearables Devices</w:t>
      </w:r>
    </w:p>
    <w:tbl>
      <w:tblPr>
        <w:tblStyle w:val="aff0"/>
        <w:tblW w:w="906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25"/>
        <w:gridCol w:w="6739"/>
      </w:tblGrid>
      <w:tr w:rsidR="009A0710" w14:paraId="0F21E60D" w14:textId="77777777" w:rsidTr="002C2BAB">
        <w:trPr>
          <w:trHeight w:val="465"/>
        </w:trPr>
        <w:tc>
          <w:tcPr>
            <w:tcW w:w="2325" w:type="dxa"/>
            <w:tcBorders>
              <w:top w:val="single" w:sz="6" w:space="0" w:color="000000"/>
              <w:left w:val="single" w:sz="6" w:space="0" w:color="000000"/>
              <w:bottom w:val="single" w:sz="6" w:space="0" w:color="000000"/>
              <w:right w:val="single" w:sz="6" w:space="0" w:color="000000"/>
            </w:tcBorders>
            <w:shd w:val="clear" w:color="auto" w:fill="D9D9D9"/>
            <w:tcMar>
              <w:top w:w="0" w:type="dxa"/>
              <w:left w:w="20" w:type="dxa"/>
              <w:bottom w:w="0" w:type="dxa"/>
              <w:right w:w="20" w:type="dxa"/>
            </w:tcMar>
          </w:tcPr>
          <w:p w14:paraId="6C82DD17" w14:textId="77777777" w:rsidR="009A0710" w:rsidRDefault="00000000">
            <w:pPr>
              <w:spacing w:after="0"/>
            </w:pPr>
            <w:r>
              <w:t>Wearable Device</w:t>
            </w:r>
          </w:p>
        </w:tc>
        <w:tc>
          <w:tcPr>
            <w:tcW w:w="6739" w:type="dxa"/>
            <w:tcBorders>
              <w:top w:val="single" w:sz="6" w:space="0" w:color="000000"/>
              <w:left w:val="nil"/>
              <w:bottom w:val="single" w:sz="6" w:space="0" w:color="000000"/>
              <w:right w:val="single" w:sz="6" w:space="0" w:color="000000"/>
            </w:tcBorders>
            <w:shd w:val="clear" w:color="auto" w:fill="D9D9D9"/>
            <w:tcMar>
              <w:top w:w="0" w:type="dxa"/>
              <w:left w:w="20" w:type="dxa"/>
              <w:bottom w:w="0" w:type="dxa"/>
              <w:right w:w="20" w:type="dxa"/>
            </w:tcMar>
          </w:tcPr>
          <w:p w14:paraId="73689B7C" w14:textId="77777777" w:rsidR="009A0710" w:rsidRDefault="00000000">
            <w:pPr>
              <w:spacing w:after="0"/>
            </w:pPr>
            <w:r>
              <w:t>Main Features</w:t>
            </w:r>
          </w:p>
        </w:tc>
      </w:tr>
      <w:tr w:rsidR="009A0710" w14:paraId="7A569F9B" w14:textId="77777777" w:rsidTr="002C2BAB">
        <w:trPr>
          <w:trHeight w:val="1590"/>
        </w:trPr>
        <w:tc>
          <w:tcPr>
            <w:tcW w:w="2325" w:type="dxa"/>
            <w:tcBorders>
              <w:top w:val="nil"/>
              <w:left w:val="single" w:sz="6" w:space="0" w:color="000000"/>
              <w:bottom w:val="single" w:sz="6" w:space="0" w:color="000000"/>
              <w:right w:val="single" w:sz="6" w:space="0" w:color="000000"/>
            </w:tcBorders>
            <w:tcMar>
              <w:top w:w="0" w:type="dxa"/>
              <w:left w:w="20" w:type="dxa"/>
              <w:bottom w:w="0" w:type="dxa"/>
              <w:right w:w="20" w:type="dxa"/>
            </w:tcMar>
          </w:tcPr>
          <w:p w14:paraId="228339E5" w14:textId="77777777" w:rsidR="009A0710" w:rsidRDefault="00000000" w:rsidP="00250139">
            <w:pPr>
              <w:spacing w:after="0"/>
              <w:jc w:val="left"/>
            </w:pPr>
            <w:r>
              <w:t>Apple Watch Series (Apple)</w:t>
            </w:r>
          </w:p>
        </w:tc>
        <w:tc>
          <w:tcPr>
            <w:tcW w:w="6739" w:type="dxa"/>
            <w:tcBorders>
              <w:top w:val="nil"/>
              <w:left w:val="nil"/>
              <w:bottom w:val="single" w:sz="6" w:space="0" w:color="000000"/>
              <w:right w:val="single" w:sz="6" w:space="0" w:color="000000"/>
            </w:tcBorders>
            <w:tcMar>
              <w:top w:w="0" w:type="dxa"/>
              <w:left w:w="20" w:type="dxa"/>
              <w:bottom w:w="0" w:type="dxa"/>
              <w:right w:w="20" w:type="dxa"/>
            </w:tcMar>
          </w:tcPr>
          <w:p w14:paraId="1F50D05F" w14:textId="77777777" w:rsidR="009A0710" w:rsidRDefault="00000000" w:rsidP="00250139">
            <w:pPr>
              <w:spacing w:after="0"/>
              <w:jc w:val="left"/>
            </w:pPr>
            <w:r>
              <w:t>Support the collection of physiological, activity, mobility, and wellbeing data through integrated sensors. Common capabilities include heart rate monitoring, activity tracking, sleep monitoring, fall detection, and emergency assistance functions.</w:t>
            </w:r>
          </w:p>
        </w:tc>
      </w:tr>
      <w:tr w:rsidR="009A0710" w14:paraId="172E991D" w14:textId="77777777" w:rsidTr="002C2BAB">
        <w:trPr>
          <w:trHeight w:val="630"/>
        </w:trPr>
        <w:tc>
          <w:tcPr>
            <w:tcW w:w="2325" w:type="dxa"/>
            <w:tcBorders>
              <w:top w:val="nil"/>
              <w:left w:val="single" w:sz="6" w:space="0" w:color="000000"/>
              <w:bottom w:val="single" w:sz="6" w:space="0" w:color="000000"/>
              <w:right w:val="single" w:sz="6" w:space="0" w:color="000000"/>
            </w:tcBorders>
            <w:tcMar>
              <w:top w:w="0" w:type="dxa"/>
              <w:left w:w="20" w:type="dxa"/>
              <w:bottom w:w="0" w:type="dxa"/>
              <w:right w:w="20" w:type="dxa"/>
            </w:tcMar>
          </w:tcPr>
          <w:p w14:paraId="6835E801" w14:textId="77777777" w:rsidR="009A0710" w:rsidRDefault="00000000" w:rsidP="00250139">
            <w:pPr>
              <w:spacing w:after="0"/>
              <w:jc w:val="left"/>
            </w:pPr>
            <w:r>
              <w:t>Fitbit / Garmin</w:t>
            </w:r>
          </w:p>
        </w:tc>
        <w:tc>
          <w:tcPr>
            <w:tcW w:w="6739" w:type="dxa"/>
            <w:tcBorders>
              <w:top w:val="nil"/>
              <w:left w:val="nil"/>
              <w:bottom w:val="single" w:sz="6" w:space="0" w:color="000000"/>
              <w:right w:val="single" w:sz="6" w:space="0" w:color="000000"/>
            </w:tcBorders>
            <w:tcMar>
              <w:top w:w="0" w:type="dxa"/>
              <w:left w:w="20" w:type="dxa"/>
              <w:bottom w:w="0" w:type="dxa"/>
              <w:right w:w="20" w:type="dxa"/>
            </w:tcMar>
          </w:tcPr>
          <w:p w14:paraId="77126160" w14:textId="77777777" w:rsidR="009A0710" w:rsidRDefault="00000000" w:rsidP="00250139">
            <w:pPr>
              <w:spacing w:after="0"/>
              <w:jc w:val="left"/>
            </w:pPr>
            <w:r>
              <w:t>Focus on monitoring physical activity, exercise, sleep quality, and selected physiological parameters to support health and wellbeing management.</w:t>
            </w:r>
          </w:p>
        </w:tc>
      </w:tr>
      <w:tr w:rsidR="009A0710" w14:paraId="4175AD11" w14:textId="77777777" w:rsidTr="002C2BAB">
        <w:trPr>
          <w:trHeight w:val="645"/>
        </w:trPr>
        <w:tc>
          <w:tcPr>
            <w:tcW w:w="2325" w:type="dxa"/>
            <w:tcBorders>
              <w:top w:val="nil"/>
              <w:left w:val="single" w:sz="6" w:space="0" w:color="000000"/>
              <w:bottom w:val="single" w:sz="6" w:space="0" w:color="000000"/>
              <w:right w:val="single" w:sz="6" w:space="0" w:color="000000"/>
            </w:tcBorders>
            <w:tcMar>
              <w:top w:w="0" w:type="dxa"/>
              <w:left w:w="20" w:type="dxa"/>
              <w:bottom w:w="0" w:type="dxa"/>
              <w:right w:w="20" w:type="dxa"/>
            </w:tcMar>
          </w:tcPr>
          <w:p w14:paraId="71B49D1D" w14:textId="77777777" w:rsidR="009A0710" w:rsidRDefault="00000000" w:rsidP="00250139">
            <w:pPr>
              <w:spacing w:after="0"/>
              <w:jc w:val="left"/>
            </w:pPr>
            <w:r>
              <w:t>PERS (Philips Lifeline, Tunstall)</w:t>
            </w:r>
          </w:p>
        </w:tc>
        <w:tc>
          <w:tcPr>
            <w:tcW w:w="6739" w:type="dxa"/>
            <w:tcBorders>
              <w:top w:val="nil"/>
              <w:left w:val="nil"/>
              <w:bottom w:val="single" w:sz="6" w:space="0" w:color="000000"/>
              <w:right w:val="single" w:sz="6" w:space="0" w:color="000000"/>
            </w:tcBorders>
            <w:tcMar>
              <w:top w:w="0" w:type="dxa"/>
              <w:left w:w="20" w:type="dxa"/>
              <w:bottom w:w="0" w:type="dxa"/>
              <w:right w:w="20" w:type="dxa"/>
            </w:tcMar>
          </w:tcPr>
          <w:p w14:paraId="38FC487D" w14:textId="77777777" w:rsidR="009A0710" w:rsidRDefault="00000000" w:rsidP="00250139">
            <w:pPr>
              <w:spacing w:after="0"/>
              <w:jc w:val="left"/>
            </w:pPr>
            <w:r>
              <w:t>Provide safety and independent living support through emergency alerting, fall detection, location tracking, and communication with carers or monitoring services.</w:t>
            </w:r>
          </w:p>
        </w:tc>
      </w:tr>
    </w:tbl>
    <w:p w14:paraId="5A7D2DDB" w14:textId="77777777" w:rsidR="009A0710" w:rsidRDefault="009A0710">
      <w:pPr>
        <w:spacing w:after="120"/>
      </w:pPr>
    </w:p>
    <w:p w14:paraId="0F550BBE" w14:textId="77777777" w:rsidR="009A0710" w:rsidRDefault="00000000">
      <w:pPr>
        <w:spacing w:after="120"/>
      </w:pPr>
      <w:r>
        <w:t>Consumer smartwatches now outpace traditional personal alarms among some senior cohorts by combining fall detection, GPS and emergency calling in one device, but demand daily charging and tech literacy. Dedicated PERS remain unmatched for simplicity and battery life, at the cost of narrower health data. For CHS-Care, wearables with open APIs/SDKs (Fitbit, Garmin) are preferred; closed platforms may need bespoke integration.</w:t>
      </w:r>
    </w:p>
    <w:p w14:paraId="4CB0420D" w14:textId="77777777" w:rsidR="009A0710" w:rsidRDefault="00000000">
      <w:pPr>
        <w:spacing w:after="120"/>
      </w:pPr>
      <w:r>
        <w:t>Privacy is critical — legal audits have flagged GDPR gaps at major vendors (Xiaomi, Samsung, Apple, Fitbit). CHS-Care will require explicit consent and privacy-by-design (raw data stored locally on the gateway, only necessary encrypted data sent to the cloud). Looking to 2027, expect cuffless BP, non-invasive glucose, more clinically certified algorithms, smart textiles and adhesive patches — with elderly adoption still the decisive factor.</w:t>
      </w:r>
    </w:p>
    <w:p w14:paraId="20E2D83F" w14:textId="77777777" w:rsidR="009A0710" w:rsidRPr="002C2BAB" w:rsidRDefault="00000000" w:rsidP="002C2BAB">
      <w:pPr>
        <w:pStyle w:val="Heading2"/>
        <w:ind w:left="0" w:firstLine="0"/>
      </w:pPr>
      <w:bookmarkStart w:id="16" w:name="_Toc241485649"/>
      <w:r w:rsidRPr="002C2BAB">
        <w:t>5.2 Cameras and Environmental Sensors (smart cameras, radar, PIR)</w:t>
      </w:r>
      <w:bookmarkEnd w:id="16"/>
    </w:p>
    <w:p w14:paraId="398EB577" w14:textId="77777777" w:rsidR="009A0710" w:rsidRDefault="00000000">
      <w:pPr>
        <w:spacing w:after="120"/>
      </w:pPr>
      <w:r>
        <w:t xml:space="preserve">Video and motion sensors are increasingly used for elderly telecare, especially fall detection. Smart cameras combined with computer vision (local or cloud) can recognise presence, posture, and activity, and trigger alerts. Examples range from cloud-based systems like the Kami Vision Fall Detect Camera (~99.5% claimed fall accuracy, real-time audio, optional 24/7 monitoring) to privacy-by-design devices like </w:t>
      </w:r>
      <w:proofErr w:type="spellStart"/>
      <w:r>
        <w:t>AltumView</w:t>
      </w:r>
      <w:proofErr w:type="spellEnd"/>
      <w:r>
        <w:t xml:space="preserve"> </w:t>
      </w:r>
      <w:proofErr w:type="spellStart"/>
      <w:r>
        <w:t>Sentinare</w:t>
      </w:r>
      <w:proofErr w:type="spellEnd"/>
      <w:r>
        <w:t>, which extract only skeleton coordinates on-device and discard video frames.</w:t>
      </w:r>
    </w:p>
    <w:p w14:paraId="32D46222" w14:textId="77777777" w:rsidR="009A0710" w:rsidRDefault="00000000">
      <w:pPr>
        <w:spacing w:after="120"/>
      </w:pPr>
      <w:r>
        <w:t xml:space="preserve">Non-visual alternatives — </w:t>
      </w:r>
      <w:proofErr w:type="spellStart"/>
      <w:r>
        <w:t>mmWave</w:t>
      </w:r>
      <w:proofErr w:type="spellEnd"/>
      <w:r>
        <w:t xml:space="preserve"> radar (e.g., </w:t>
      </w:r>
      <w:proofErr w:type="spellStart"/>
      <w:r>
        <w:t>Vayyar</w:t>
      </w:r>
      <w:proofErr w:type="spellEnd"/>
      <w:r>
        <w:t xml:space="preserve"> Care) and PIR sensors — detect presence, posture and falls without images or audio, working in the dark or through steam and achieving &gt;90% fall accuracy in field tests. This makes them attractive for privacy-sensitive settings (bedrooms, bathrooms, care homes).</w:t>
      </w:r>
    </w:p>
    <w:p w14:paraId="18C58C45" w14:textId="77777777" w:rsidR="009A0710" w:rsidRDefault="00000000">
      <w:pPr>
        <w:spacing w:before="120" w:after="80"/>
        <w:rPr>
          <w:b/>
          <w:bCs/>
          <w:i/>
          <w:iCs/>
        </w:rPr>
      </w:pPr>
      <w:r>
        <w:rPr>
          <w:b/>
          <w:bCs/>
          <w:i/>
          <w:iCs/>
        </w:rPr>
        <w:t>Table 2 – Vision-Based Monitoring Solutions</w:t>
      </w:r>
    </w:p>
    <w:tbl>
      <w:tblPr>
        <w:tblStyle w:val="aff1"/>
        <w:tblW w:w="906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420"/>
        <w:gridCol w:w="5644"/>
      </w:tblGrid>
      <w:tr w:rsidR="009A0710" w14:paraId="033E90EA" w14:textId="77777777" w:rsidTr="002C2BAB">
        <w:trPr>
          <w:trHeight w:val="240"/>
        </w:trPr>
        <w:tc>
          <w:tcPr>
            <w:tcW w:w="3420" w:type="dxa"/>
            <w:tcBorders>
              <w:top w:val="single" w:sz="6" w:space="0" w:color="000000"/>
              <w:left w:val="single" w:sz="6" w:space="0" w:color="000000"/>
              <w:bottom w:val="single" w:sz="6" w:space="0" w:color="000000"/>
              <w:right w:val="single" w:sz="6" w:space="0" w:color="000000"/>
            </w:tcBorders>
            <w:shd w:val="clear" w:color="auto" w:fill="D9D9D9"/>
            <w:tcMar>
              <w:top w:w="0" w:type="dxa"/>
              <w:left w:w="20" w:type="dxa"/>
              <w:bottom w:w="0" w:type="dxa"/>
              <w:right w:w="20" w:type="dxa"/>
            </w:tcMar>
          </w:tcPr>
          <w:p w14:paraId="6DA2E557" w14:textId="77777777" w:rsidR="009A0710" w:rsidRDefault="00000000">
            <w:pPr>
              <w:spacing w:after="0"/>
            </w:pPr>
            <w:r>
              <w:t>Monitoring System</w:t>
            </w:r>
          </w:p>
        </w:tc>
        <w:tc>
          <w:tcPr>
            <w:tcW w:w="5644" w:type="dxa"/>
            <w:tcBorders>
              <w:top w:val="single" w:sz="6" w:space="0" w:color="000000"/>
              <w:left w:val="nil"/>
              <w:bottom w:val="single" w:sz="6" w:space="0" w:color="000000"/>
              <w:right w:val="single" w:sz="6" w:space="0" w:color="000000"/>
            </w:tcBorders>
            <w:shd w:val="clear" w:color="auto" w:fill="D9D9D9"/>
            <w:tcMar>
              <w:top w:w="0" w:type="dxa"/>
              <w:left w:w="20" w:type="dxa"/>
              <w:bottom w:w="0" w:type="dxa"/>
              <w:right w:w="20" w:type="dxa"/>
            </w:tcMar>
          </w:tcPr>
          <w:p w14:paraId="1D45363D" w14:textId="77777777" w:rsidR="009A0710" w:rsidRDefault="00000000">
            <w:pPr>
              <w:spacing w:after="0"/>
            </w:pPr>
            <w:r>
              <w:t>Features</w:t>
            </w:r>
          </w:p>
        </w:tc>
      </w:tr>
      <w:tr w:rsidR="009A0710" w14:paraId="7C280097" w14:textId="77777777" w:rsidTr="002C2BAB">
        <w:trPr>
          <w:trHeight w:val="915"/>
        </w:trPr>
        <w:tc>
          <w:tcPr>
            <w:tcW w:w="3420" w:type="dxa"/>
            <w:tcBorders>
              <w:top w:val="nil"/>
              <w:left w:val="single" w:sz="6" w:space="0" w:color="000000"/>
              <w:bottom w:val="single" w:sz="6" w:space="0" w:color="000000"/>
              <w:right w:val="single" w:sz="6" w:space="0" w:color="000000"/>
            </w:tcBorders>
            <w:tcMar>
              <w:top w:w="0" w:type="dxa"/>
              <w:left w:w="20" w:type="dxa"/>
              <w:bottom w:w="0" w:type="dxa"/>
              <w:right w:w="20" w:type="dxa"/>
            </w:tcMar>
          </w:tcPr>
          <w:p w14:paraId="124A10D1" w14:textId="77777777" w:rsidR="009A0710" w:rsidRDefault="00000000" w:rsidP="00250139">
            <w:pPr>
              <w:spacing w:after="0"/>
              <w:jc w:val="left"/>
            </w:pPr>
            <w:r>
              <w:t>Kami Fall Detect Camera (2025)</w:t>
            </w:r>
          </w:p>
        </w:tc>
        <w:tc>
          <w:tcPr>
            <w:tcW w:w="5644" w:type="dxa"/>
            <w:tcBorders>
              <w:top w:val="nil"/>
              <w:left w:val="nil"/>
              <w:bottom w:val="single" w:sz="6" w:space="0" w:color="000000"/>
              <w:right w:val="single" w:sz="6" w:space="0" w:color="000000"/>
            </w:tcBorders>
            <w:tcMar>
              <w:top w:w="0" w:type="dxa"/>
              <w:left w:w="20" w:type="dxa"/>
              <w:bottom w:w="0" w:type="dxa"/>
              <w:right w:w="20" w:type="dxa"/>
            </w:tcMar>
          </w:tcPr>
          <w:p w14:paraId="3E73D10F" w14:textId="77777777" w:rsidR="009A0710" w:rsidRDefault="00000000" w:rsidP="00250139">
            <w:pPr>
              <w:spacing w:after="0"/>
              <w:jc w:val="left"/>
            </w:pPr>
            <w:r>
              <w:t>Vision-based monitoring system incorporating a 1080p RGB camera, night vision capability, 360° field of view, two-way audio communication, and AI-based fall detection. Designed to support remote supervision through automated event detection and real-time alerts to carers and monitoring services.</w:t>
            </w:r>
          </w:p>
        </w:tc>
      </w:tr>
      <w:tr w:rsidR="009A0710" w14:paraId="343B1B61" w14:textId="77777777" w:rsidTr="002C2BAB">
        <w:trPr>
          <w:trHeight w:val="915"/>
        </w:trPr>
        <w:tc>
          <w:tcPr>
            <w:tcW w:w="3420" w:type="dxa"/>
            <w:tcBorders>
              <w:top w:val="nil"/>
              <w:left w:val="single" w:sz="6" w:space="0" w:color="000000"/>
              <w:bottom w:val="single" w:sz="6" w:space="0" w:color="000000"/>
              <w:right w:val="single" w:sz="6" w:space="0" w:color="000000"/>
            </w:tcBorders>
            <w:tcMar>
              <w:top w:w="0" w:type="dxa"/>
              <w:left w:w="20" w:type="dxa"/>
              <w:bottom w:w="0" w:type="dxa"/>
              <w:right w:w="20" w:type="dxa"/>
            </w:tcMar>
          </w:tcPr>
          <w:p w14:paraId="25ABA063" w14:textId="77777777" w:rsidR="009A0710" w:rsidRDefault="00000000" w:rsidP="00250139">
            <w:pPr>
              <w:spacing w:after="0"/>
              <w:jc w:val="left"/>
            </w:pPr>
            <w:proofErr w:type="spellStart"/>
            <w:r>
              <w:t>AltumView</w:t>
            </w:r>
            <w:proofErr w:type="spellEnd"/>
            <w:r>
              <w:t xml:space="preserve"> </w:t>
            </w:r>
            <w:proofErr w:type="spellStart"/>
            <w:r>
              <w:t>Sentinare</w:t>
            </w:r>
            <w:proofErr w:type="spellEnd"/>
            <w:r>
              <w:t xml:space="preserve"> v2</w:t>
            </w:r>
          </w:p>
        </w:tc>
        <w:tc>
          <w:tcPr>
            <w:tcW w:w="5644" w:type="dxa"/>
            <w:tcBorders>
              <w:top w:val="nil"/>
              <w:left w:val="nil"/>
              <w:bottom w:val="single" w:sz="6" w:space="0" w:color="000000"/>
              <w:right w:val="single" w:sz="6" w:space="0" w:color="000000"/>
            </w:tcBorders>
            <w:tcMar>
              <w:top w:w="0" w:type="dxa"/>
              <w:left w:w="20" w:type="dxa"/>
              <w:bottom w:w="0" w:type="dxa"/>
              <w:right w:w="20" w:type="dxa"/>
            </w:tcMar>
          </w:tcPr>
          <w:p w14:paraId="4434AF6F" w14:textId="77777777" w:rsidR="009A0710" w:rsidRDefault="00000000" w:rsidP="00250139">
            <w:pPr>
              <w:spacing w:after="0"/>
              <w:jc w:val="left"/>
            </w:pPr>
            <w:r>
              <w:t>Edge-AI monitoring system that processes activity data locally and transmits anonymised stick-figure representations rather than video images. Supports detection of falls, including slow falls, activity monitoring, and occupancy awareness within a typical monitoring range of approximately 6 metres while minimising privacy concerns and avoiding pet-related false detections.</w:t>
            </w:r>
          </w:p>
        </w:tc>
      </w:tr>
      <w:tr w:rsidR="009A0710" w14:paraId="10626879" w14:textId="77777777" w:rsidTr="002C2BAB">
        <w:trPr>
          <w:trHeight w:val="765"/>
        </w:trPr>
        <w:tc>
          <w:tcPr>
            <w:tcW w:w="3420" w:type="dxa"/>
            <w:tcBorders>
              <w:top w:val="nil"/>
              <w:left w:val="single" w:sz="6" w:space="0" w:color="000000"/>
              <w:bottom w:val="single" w:sz="6" w:space="0" w:color="000000"/>
              <w:right w:val="single" w:sz="6" w:space="0" w:color="000000"/>
            </w:tcBorders>
            <w:tcMar>
              <w:top w:w="0" w:type="dxa"/>
              <w:left w:w="20" w:type="dxa"/>
              <w:bottom w:w="0" w:type="dxa"/>
              <w:right w:w="20" w:type="dxa"/>
            </w:tcMar>
          </w:tcPr>
          <w:p w14:paraId="5A961AD9" w14:textId="77777777" w:rsidR="009A0710" w:rsidRDefault="00000000" w:rsidP="00250139">
            <w:pPr>
              <w:spacing w:after="0"/>
              <w:jc w:val="left"/>
            </w:pPr>
            <w:proofErr w:type="spellStart"/>
            <w:r>
              <w:lastRenderedPageBreak/>
              <w:t>Vayyar</w:t>
            </w:r>
            <w:proofErr w:type="spellEnd"/>
            <w:r>
              <w:t xml:space="preserve"> Care (</w:t>
            </w:r>
            <w:proofErr w:type="spellStart"/>
            <w:r>
              <w:t>mmWave</w:t>
            </w:r>
            <w:proofErr w:type="spellEnd"/>
            <w:r>
              <w:t xml:space="preserve"> radar)</w:t>
            </w:r>
          </w:p>
        </w:tc>
        <w:tc>
          <w:tcPr>
            <w:tcW w:w="5644" w:type="dxa"/>
            <w:tcBorders>
              <w:top w:val="nil"/>
              <w:left w:val="nil"/>
              <w:bottom w:val="single" w:sz="6" w:space="0" w:color="000000"/>
              <w:right w:val="single" w:sz="6" w:space="0" w:color="000000"/>
            </w:tcBorders>
            <w:tcMar>
              <w:top w:w="0" w:type="dxa"/>
              <w:left w:w="20" w:type="dxa"/>
              <w:bottom w:w="0" w:type="dxa"/>
              <w:right w:w="20" w:type="dxa"/>
            </w:tcMar>
          </w:tcPr>
          <w:p w14:paraId="4B90E307" w14:textId="77777777" w:rsidR="009A0710" w:rsidRDefault="00000000" w:rsidP="00250139">
            <w:pPr>
              <w:spacing w:after="0"/>
              <w:jc w:val="left"/>
            </w:pPr>
            <w:r>
              <w:t>Contactless monitoring solution based on 4D millimetre-wave (</w:t>
            </w:r>
            <w:proofErr w:type="spellStart"/>
            <w:r>
              <w:t>mmWave</w:t>
            </w:r>
            <w:proofErr w:type="spellEnd"/>
            <w:r>
              <w:t>) radar technology. Operates without capturing images or audio and supports the detection of falls, presence, movement, posture, and activity patterns. Functions reliably in challenging environments such as darkness, steam, or low-visibility conditions, with coverage of approximately 16 m².</w:t>
            </w:r>
          </w:p>
        </w:tc>
      </w:tr>
    </w:tbl>
    <w:p w14:paraId="2A4EB723" w14:textId="77777777" w:rsidR="009A0710" w:rsidRDefault="009A0710">
      <w:pPr>
        <w:spacing w:after="120"/>
      </w:pPr>
    </w:p>
    <w:p w14:paraId="28D470A4" w14:textId="77777777" w:rsidR="009A0710" w:rsidRDefault="00000000">
      <w:pPr>
        <w:spacing w:after="120"/>
      </w:pPr>
      <w:r>
        <w:t>There is a trade-off between richness and privacy: cameras give the most context but are intrusive; radar/PIR are minimally intrusive but lack visual confirmation. An emerging hybrid pattern uses non-visual sensors continuously and activates a camera only on critical events for remote verification. CHS-Care will favour devices with documented SDKs/local interfaces to avoid vendor cloud lock-in, feeding unified event data alongside wearable and smartphone sources.</w:t>
      </w:r>
    </w:p>
    <w:p w14:paraId="78F1FC85" w14:textId="77777777" w:rsidR="009A0710" w:rsidRDefault="00000000">
      <w:pPr>
        <w:spacing w:after="120"/>
      </w:pPr>
      <w:r>
        <w:t xml:space="preserve">Expected advances by 2027: more on-device AI, hybrid RGB-D and radar-camera fusion to cut false positives, cheaper/more discreet </w:t>
      </w:r>
      <w:proofErr w:type="spellStart"/>
      <w:r>
        <w:t>mmWave</w:t>
      </w:r>
      <w:proofErr w:type="spellEnd"/>
      <w:r>
        <w:t xml:space="preserve"> sensors (potentially embedded in lighting or routers), and better interoperability via standards like Matter. Vision analytics will also extract mobility patterns (bedtime vs active time) useful for predicting functional decline.</w:t>
      </w:r>
    </w:p>
    <w:p w14:paraId="76717C50" w14:textId="77777777" w:rsidR="009A0710" w:rsidRPr="002C2BAB" w:rsidRDefault="00000000" w:rsidP="002C2BAB">
      <w:pPr>
        <w:pStyle w:val="Heading2"/>
        <w:ind w:left="0" w:firstLine="0"/>
      </w:pPr>
      <w:bookmarkStart w:id="17" w:name="_Toc241485650"/>
      <w:r w:rsidRPr="002C2BAB">
        <w:t>5.3 Smartphones (passive data collection, cognitive apps)</w:t>
      </w:r>
      <w:bookmarkEnd w:id="17"/>
    </w:p>
    <w:p w14:paraId="7ABB0EF5" w14:textId="77777777" w:rsidR="009A0710" w:rsidRDefault="00000000">
      <w:pPr>
        <w:spacing w:after="120"/>
      </w:pPr>
      <w:r>
        <w:t>The smartphone plays a dual role in CHS-Care: multimodal sensor (accelerometer, gyroscope, GPS, microphone, camera) and data aggregation hub. Apple's HealthKit and Google's Health Connect standardise local aggregation with privacy-first, permissioned access. Beyond physiological data, smartphones enable digital phenotyping — passive analysis of usage, location and movement can flag social isolation, disorientation or early cognitive decline, and validated app-based tests (e.g., 2024 PLOS Digital Health spatial-orientation study) can distinguish subjective cognitive decline from healthy controls.</w:t>
      </w:r>
    </w:p>
    <w:p w14:paraId="7539BD9E" w14:textId="77777777" w:rsidR="009A0710" w:rsidRDefault="00000000">
      <w:pPr>
        <w:spacing w:after="120"/>
      </w:pPr>
      <w:r>
        <w:t>Two integration paths: (1) a dedicated app collecting sensor + paired-device data and sending it to the backend, or (2) the phone as a local gateway (BLE for wearables, Wi-Fi/ZigBee for IoT) with preprocessing before upload.</w:t>
      </w:r>
    </w:p>
    <w:p w14:paraId="432C56E7" w14:textId="77777777" w:rsidR="009A0710" w:rsidRDefault="00000000">
      <w:pPr>
        <w:spacing w:before="120" w:after="80"/>
        <w:rPr>
          <w:b/>
          <w:bCs/>
          <w:i/>
          <w:iCs/>
        </w:rPr>
      </w:pPr>
      <w:r>
        <w:rPr>
          <w:b/>
          <w:bCs/>
          <w:i/>
          <w:iCs/>
        </w:rPr>
        <w:t>Table 3 – Smartphone-based solutions</w:t>
      </w:r>
    </w:p>
    <w:tbl>
      <w:tblPr>
        <w:tblStyle w:val="aff2"/>
        <w:tblW w:w="906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95"/>
        <w:gridCol w:w="7069"/>
      </w:tblGrid>
      <w:tr w:rsidR="009A0710" w14:paraId="5E18E74F" w14:textId="77777777" w:rsidTr="002C2BAB">
        <w:trPr>
          <w:cantSplit/>
          <w:trHeight w:val="465"/>
        </w:trPr>
        <w:tc>
          <w:tcPr>
            <w:tcW w:w="1995" w:type="dxa"/>
            <w:tcBorders>
              <w:top w:val="single" w:sz="6" w:space="0" w:color="000000"/>
              <w:left w:val="single" w:sz="6" w:space="0" w:color="000000"/>
              <w:bottom w:val="single" w:sz="6" w:space="0" w:color="000000"/>
              <w:right w:val="single" w:sz="6" w:space="0" w:color="000000"/>
            </w:tcBorders>
            <w:shd w:val="clear" w:color="auto" w:fill="D9D9D9"/>
            <w:tcMar>
              <w:top w:w="0" w:type="dxa"/>
              <w:left w:w="20" w:type="dxa"/>
              <w:bottom w:w="0" w:type="dxa"/>
              <w:right w:w="20" w:type="dxa"/>
            </w:tcMar>
          </w:tcPr>
          <w:p w14:paraId="170EA32D" w14:textId="77777777" w:rsidR="009A0710" w:rsidRDefault="00000000">
            <w:pPr>
              <w:spacing w:after="0"/>
            </w:pPr>
            <w:r>
              <w:t>Mobile Platform</w:t>
            </w:r>
          </w:p>
        </w:tc>
        <w:tc>
          <w:tcPr>
            <w:tcW w:w="7069" w:type="dxa"/>
            <w:tcBorders>
              <w:top w:val="single" w:sz="6" w:space="0" w:color="000000"/>
              <w:left w:val="nil"/>
              <w:bottom w:val="single" w:sz="6" w:space="0" w:color="000000"/>
              <w:right w:val="single" w:sz="6" w:space="0" w:color="000000"/>
            </w:tcBorders>
            <w:shd w:val="clear" w:color="auto" w:fill="D9D9D9"/>
            <w:tcMar>
              <w:top w:w="0" w:type="dxa"/>
              <w:left w:w="20" w:type="dxa"/>
              <w:bottom w:w="0" w:type="dxa"/>
              <w:right w:w="20" w:type="dxa"/>
            </w:tcMar>
          </w:tcPr>
          <w:p w14:paraId="2796C539" w14:textId="77777777" w:rsidR="009A0710" w:rsidRDefault="00000000">
            <w:pPr>
              <w:spacing w:after="0"/>
            </w:pPr>
            <w:r>
              <w:t>Sensor &amp; Health Capabilities</w:t>
            </w:r>
          </w:p>
        </w:tc>
      </w:tr>
      <w:tr w:rsidR="009A0710" w14:paraId="2C3FE0E3" w14:textId="77777777" w:rsidTr="002C2BAB">
        <w:trPr>
          <w:cantSplit/>
          <w:trHeight w:val="825"/>
        </w:trPr>
        <w:tc>
          <w:tcPr>
            <w:tcW w:w="1995" w:type="dxa"/>
            <w:tcBorders>
              <w:top w:val="nil"/>
              <w:left w:val="single" w:sz="6" w:space="0" w:color="000000"/>
              <w:bottom w:val="single" w:sz="6" w:space="0" w:color="000000"/>
              <w:right w:val="single" w:sz="6" w:space="0" w:color="000000"/>
            </w:tcBorders>
            <w:tcMar>
              <w:top w:w="0" w:type="dxa"/>
              <w:left w:w="20" w:type="dxa"/>
              <w:bottom w:w="0" w:type="dxa"/>
              <w:right w:w="20" w:type="dxa"/>
            </w:tcMar>
          </w:tcPr>
          <w:p w14:paraId="7C6EA61A" w14:textId="77777777" w:rsidR="009A0710" w:rsidRDefault="00000000" w:rsidP="00250139">
            <w:pPr>
              <w:spacing w:after="0"/>
              <w:jc w:val="left"/>
            </w:pPr>
            <w:r>
              <w:t xml:space="preserve"> Apple iOS (iPhone)</w:t>
            </w:r>
          </w:p>
        </w:tc>
        <w:tc>
          <w:tcPr>
            <w:tcW w:w="7069" w:type="dxa"/>
            <w:tcBorders>
              <w:top w:val="nil"/>
              <w:left w:val="nil"/>
              <w:bottom w:val="single" w:sz="6" w:space="0" w:color="000000"/>
              <w:right w:val="single" w:sz="6" w:space="0" w:color="000000"/>
            </w:tcBorders>
            <w:tcMar>
              <w:top w:w="0" w:type="dxa"/>
              <w:left w:w="20" w:type="dxa"/>
              <w:bottom w:w="0" w:type="dxa"/>
              <w:right w:w="20" w:type="dxa"/>
            </w:tcMar>
          </w:tcPr>
          <w:p w14:paraId="3BE71C92" w14:textId="77777777" w:rsidR="009A0710" w:rsidRDefault="00000000" w:rsidP="00250139">
            <w:pPr>
              <w:spacing w:after="0"/>
              <w:jc w:val="left"/>
            </w:pPr>
            <w:r>
              <w:t>Integrates data from built-in sensors including accelerometers, gyroscopes, GPS, microphones, and cameras, and can aggregate health information through Apple Health and connected devices such as Apple Watch. Common applications include activity and mobility monitoring, wellbeing assessment, symptom tracking, fall detection, and delivery of digital health interventions.</w:t>
            </w:r>
          </w:p>
        </w:tc>
      </w:tr>
      <w:tr w:rsidR="009A0710" w14:paraId="6F6675C5" w14:textId="77777777" w:rsidTr="002C2BAB">
        <w:trPr>
          <w:trHeight w:val="765"/>
        </w:trPr>
        <w:tc>
          <w:tcPr>
            <w:tcW w:w="1995" w:type="dxa"/>
            <w:tcBorders>
              <w:top w:val="nil"/>
              <w:left w:val="single" w:sz="6" w:space="0" w:color="000000"/>
              <w:bottom w:val="single" w:sz="6" w:space="0" w:color="000000"/>
              <w:right w:val="single" w:sz="6" w:space="0" w:color="000000"/>
            </w:tcBorders>
            <w:tcMar>
              <w:top w:w="0" w:type="dxa"/>
              <w:left w:w="20" w:type="dxa"/>
              <w:bottom w:w="0" w:type="dxa"/>
              <w:right w:w="20" w:type="dxa"/>
            </w:tcMar>
          </w:tcPr>
          <w:p w14:paraId="29A321C2" w14:textId="77777777" w:rsidR="009A0710" w:rsidRDefault="00000000" w:rsidP="00250139">
            <w:pPr>
              <w:spacing w:after="0"/>
              <w:jc w:val="left"/>
            </w:pPr>
            <w:r>
              <w:lastRenderedPageBreak/>
              <w:t>Google Android</w:t>
            </w:r>
          </w:p>
        </w:tc>
        <w:tc>
          <w:tcPr>
            <w:tcW w:w="7069" w:type="dxa"/>
            <w:tcBorders>
              <w:top w:val="nil"/>
              <w:left w:val="nil"/>
              <w:bottom w:val="single" w:sz="6" w:space="0" w:color="000000"/>
              <w:right w:val="single" w:sz="6" w:space="0" w:color="000000"/>
            </w:tcBorders>
            <w:tcMar>
              <w:top w:w="0" w:type="dxa"/>
              <w:left w:w="20" w:type="dxa"/>
              <w:bottom w:w="0" w:type="dxa"/>
              <w:right w:w="20" w:type="dxa"/>
            </w:tcMar>
          </w:tcPr>
          <w:p w14:paraId="7252D947" w14:textId="77777777" w:rsidR="009A0710" w:rsidRDefault="00000000" w:rsidP="00250139">
            <w:pPr>
              <w:spacing w:after="0"/>
              <w:jc w:val="left"/>
            </w:pPr>
            <w:r>
              <w:t>Supports health and wellbeing monitoring through integrated smartphone sensors and ecosystem services such as Health Connect and Google Fit, as well as connected wearables including devices such as the Pixel Watch. Typical applications include activity monitoring, mobility assessment, location-aware services, symptom reporting, fall detection, and support for digital health and care applications.</w:t>
            </w:r>
          </w:p>
        </w:tc>
      </w:tr>
    </w:tbl>
    <w:p w14:paraId="48C105DF" w14:textId="77777777" w:rsidR="009A0710" w:rsidRDefault="009A0710">
      <w:pPr>
        <w:spacing w:after="120"/>
      </w:pPr>
    </w:p>
    <w:p w14:paraId="300B06DE" w14:textId="77777777" w:rsidR="009A0710" w:rsidRDefault="00000000">
      <w:pPr>
        <w:spacing w:after="120"/>
      </w:pPr>
      <w:r>
        <w:t>Best practice favours passive monitoring to maximise adherence among older adults, mitigating battery/UX impact through sparse sampling and system-level optimised frameworks (e.g., Google Activity Recognition). GDPR alignment is inherent to both platforms' consent models, and Apple explicitly prohibits HealthKit data for advertising or resale.</w:t>
      </w:r>
    </w:p>
    <w:p w14:paraId="321337BC" w14:textId="77777777" w:rsidR="009A0710" w:rsidRDefault="00000000">
      <w:pPr>
        <w:spacing w:after="120"/>
      </w:pPr>
      <w:r>
        <w:t>By 2027 expect new sensors (non-invasive glucose, BP), unified APIs (Health Connect likely dominant on Android), and more on-device ML (TensorFlow Lite) enabling local risk scoring with only results sent to the cloud — reinforcing privacy-by-design.</w:t>
      </w:r>
    </w:p>
    <w:p w14:paraId="264DECE8" w14:textId="77777777" w:rsidR="009A0710" w:rsidRPr="002C2BAB" w:rsidRDefault="00000000" w:rsidP="002C2BAB">
      <w:pPr>
        <w:pStyle w:val="Heading2"/>
        <w:ind w:left="0" w:firstLine="0"/>
      </w:pPr>
      <w:bookmarkStart w:id="18" w:name="_Toc241485651"/>
      <w:r w:rsidRPr="002C2BAB">
        <w:t>5.4 Microphones and Audio (voice analysis, sound event detection)</w:t>
      </w:r>
      <w:bookmarkEnd w:id="18"/>
    </w:p>
    <w:p w14:paraId="1686504F" w14:textId="77777777" w:rsidR="009A0710" w:rsidRDefault="00000000">
      <w:pPr>
        <w:spacing w:after="120"/>
      </w:pPr>
      <w:r>
        <w:t>Audio analysis in remote health monitoring covers two areas: (a) voice as a cognitive/emotional biomarker, and (b) acoustic event detection for safety. AI on speech recordings can extract prosody, response time, lexical choice and vocal stability to distinguish Alzheimer's patients from healthy elderly with &gt;85–90% accuracy in reviews. Commercial platforms (</w:t>
      </w:r>
      <w:proofErr w:type="spellStart"/>
      <w:r>
        <w:t>AcceXible</w:t>
      </w:r>
      <w:proofErr w:type="spellEnd"/>
      <w:r>
        <w:t xml:space="preserve">, </w:t>
      </w:r>
      <w:proofErr w:type="spellStart"/>
      <w:r>
        <w:t>Winterlight</w:t>
      </w:r>
      <w:proofErr w:type="spellEnd"/>
      <w:r>
        <w:t xml:space="preserve"> Labs) run short, guided speech tasks to produce a cognitive risk score; a 2024 UT Southwestern study reported higher sensitivity than MMSE for MCI detection in Spanish. In CHS-Care, this is planned as an optional monthly voice check via the app, with European Portuguese model calibration required.</w:t>
      </w:r>
    </w:p>
    <w:p w14:paraId="23D86965" w14:textId="66D25D7E" w:rsidR="002C2BAB" w:rsidRDefault="00000000">
      <w:pPr>
        <w:spacing w:after="120"/>
      </w:pPr>
      <w:r>
        <w:t>For acoustic events, home voice assistants (Alexa Together, Google Nest) already offer inactivity alerts and detection of glass-break or smoke alarms. Dedicated acoustic sensors listen passively for help words or fall-signature sounds; the main challenge is minimising false positives from TV or conversation.</w:t>
      </w:r>
    </w:p>
    <w:p w14:paraId="1FF3028A" w14:textId="77777777" w:rsidR="009A0710" w:rsidRDefault="00000000">
      <w:pPr>
        <w:spacing w:before="120" w:after="80"/>
        <w:rPr>
          <w:b/>
          <w:bCs/>
          <w:i/>
          <w:iCs/>
        </w:rPr>
      </w:pPr>
      <w:r>
        <w:rPr>
          <w:b/>
          <w:bCs/>
          <w:i/>
          <w:iCs/>
        </w:rPr>
        <w:t>Table 4 – Audio-Based Solutions</w:t>
      </w:r>
    </w:p>
    <w:tbl>
      <w:tblPr>
        <w:tblStyle w:val="aff3"/>
        <w:tblW w:w="91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05"/>
        <w:gridCol w:w="6360"/>
      </w:tblGrid>
      <w:tr w:rsidR="009A0710" w14:paraId="75A9EAF5" w14:textId="77777777">
        <w:trPr>
          <w:trHeight w:val="240"/>
        </w:trPr>
        <w:tc>
          <w:tcPr>
            <w:tcW w:w="2805" w:type="dxa"/>
            <w:tcBorders>
              <w:top w:val="single" w:sz="6" w:space="0" w:color="000000"/>
              <w:left w:val="single" w:sz="6" w:space="0" w:color="000000"/>
              <w:bottom w:val="single" w:sz="6" w:space="0" w:color="000000"/>
              <w:right w:val="single" w:sz="6" w:space="0" w:color="000000"/>
            </w:tcBorders>
            <w:shd w:val="clear" w:color="auto" w:fill="D9D9D9"/>
            <w:tcMar>
              <w:top w:w="0" w:type="dxa"/>
              <w:left w:w="20" w:type="dxa"/>
              <w:bottom w:w="0" w:type="dxa"/>
              <w:right w:w="20" w:type="dxa"/>
            </w:tcMar>
          </w:tcPr>
          <w:p w14:paraId="48B52BA5" w14:textId="77777777" w:rsidR="009A0710" w:rsidRDefault="00000000">
            <w:pPr>
              <w:spacing w:after="0"/>
            </w:pPr>
            <w:r>
              <w:t>Audio Solution</w:t>
            </w:r>
          </w:p>
        </w:tc>
        <w:tc>
          <w:tcPr>
            <w:tcW w:w="6360" w:type="dxa"/>
            <w:tcBorders>
              <w:top w:val="single" w:sz="6" w:space="0" w:color="000000"/>
              <w:left w:val="nil"/>
              <w:bottom w:val="single" w:sz="6" w:space="0" w:color="000000"/>
              <w:right w:val="single" w:sz="6" w:space="0" w:color="000000"/>
            </w:tcBorders>
            <w:shd w:val="clear" w:color="auto" w:fill="D9D9D9"/>
            <w:tcMar>
              <w:top w:w="0" w:type="dxa"/>
              <w:left w:w="20" w:type="dxa"/>
              <w:bottom w:w="0" w:type="dxa"/>
              <w:right w:w="20" w:type="dxa"/>
            </w:tcMar>
          </w:tcPr>
          <w:p w14:paraId="695825AA" w14:textId="77777777" w:rsidR="009A0710" w:rsidRDefault="00000000">
            <w:pPr>
              <w:spacing w:after="0"/>
            </w:pPr>
            <w:r>
              <w:t>Description</w:t>
            </w:r>
          </w:p>
        </w:tc>
      </w:tr>
      <w:tr w:rsidR="009A0710" w14:paraId="12D6C226" w14:textId="77777777">
        <w:trPr>
          <w:trHeight w:val="915"/>
        </w:trPr>
        <w:tc>
          <w:tcPr>
            <w:tcW w:w="2805" w:type="dxa"/>
            <w:tcBorders>
              <w:top w:val="nil"/>
              <w:left w:val="single" w:sz="6" w:space="0" w:color="000000"/>
              <w:bottom w:val="single" w:sz="6" w:space="0" w:color="000000"/>
              <w:right w:val="single" w:sz="6" w:space="0" w:color="000000"/>
            </w:tcBorders>
            <w:tcMar>
              <w:top w:w="0" w:type="dxa"/>
              <w:left w:w="20" w:type="dxa"/>
              <w:bottom w:w="0" w:type="dxa"/>
              <w:right w:w="20" w:type="dxa"/>
            </w:tcMar>
          </w:tcPr>
          <w:p w14:paraId="12A7B10B" w14:textId="77777777" w:rsidR="009A0710" w:rsidRDefault="00000000" w:rsidP="00250139">
            <w:pPr>
              <w:spacing w:after="0"/>
              <w:jc w:val="left"/>
            </w:pPr>
            <w:r>
              <w:t>Home Voice Assistant (Amazon Alexa, Google Nest)</w:t>
            </w:r>
          </w:p>
        </w:tc>
        <w:tc>
          <w:tcPr>
            <w:tcW w:w="6360" w:type="dxa"/>
            <w:tcBorders>
              <w:top w:val="nil"/>
              <w:left w:val="nil"/>
              <w:bottom w:val="single" w:sz="6" w:space="0" w:color="000000"/>
              <w:right w:val="single" w:sz="6" w:space="0" w:color="000000"/>
            </w:tcBorders>
            <w:tcMar>
              <w:top w:w="0" w:type="dxa"/>
              <w:left w:w="20" w:type="dxa"/>
              <w:bottom w:w="0" w:type="dxa"/>
              <w:right w:w="20" w:type="dxa"/>
            </w:tcMar>
          </w:tcPr>
          <w:p w14:paraId="463FA62C" w14:textId="77777777" w:rsidR="009A0710" w:rsidRDefault="00000000" w:rsidP="00250139">
            <w:pPr>
              <w:spacing w:after="0"/>
              <w:jc w:val="left"/>
            </w:pPr>
            <w:r>
              <w:t>Provide voice-based interaction through far-field microphones and speech recognition technologies. Typical applications include requesting assistance, accessing information, controlling connected devices, wellbeing check-ins, inactivity monitoring, and the detection of selected environmental sounds and alerts.</w:t>
            </w:r>
          </w:p>
        </w:tc>
      </w:tr>
      <w:tr w:rsidR="009A0710" w14:paraId="5F628901" w14:textId="77777777">
        <w:trPr>
          <w:trHeight w:val="915"/>
        </w:trPr>
        <w:tc>
          <w:tcPr>
            <w:tcW w:w="2805" w:type="dxa"/>
            <w:tcBorders>
              <w:top w:val="nil"/>
              <w:left w:val="single" w:sz="6" w:space="0" w:color="000000"/>
              <w:bottom w:val="single" w:sz="6" w:space="0" w:color="000000"/>
              <w:right w:val="single" w:sz="6" w:space="0" w:color="000000"/>
            </w:tcBorders>
            <w:tcMar>
              <w:top w:w="0" w:type="dxa"/>
              <w:left w:w="20" w:type="dxa"/>
              <w:bottom w:w="0" w:type="dxa"/>
              <w:right w:w="20" w:type="dxa"/>
            </w:tcMar>
          </w:tcPr>
          <w:p w14:paraId="53E2EF50" w14:textId="77777777" w:rsidR="009A0710" w:rsidRDefault="00000000" w:rsidP="00250139">
            <w:pPr>
              <w:spacing w:after="0"/>
              <w:jc w:val="left"/>
            </w:pPr>
            <w:r>
              <w:t xml:space="preserve">Voice Analysis </w:t>
            </w:r>
            <w:proofErr w:type="gramStart"/>
            <w:r>
              <w:t>Applications  (</w:t>
            </w:r>
            <w:proofErr w:type="spellStart"/>
            <w:proofErr w:type="gramEnd"/>
            <w:r>
              <w:t>AcceXible</w:t>
            </w:r>
            <w:proofErr w:type="spellEnd"/>
            <w:r>
              <w:t xml:space="preserve">, </w:t>
            </w:r>
            <w:proofErr w:type="spellStart"/>
            <w:r>
              <w:t>Winterlight</w:t>
            </w:r>
            <w:proofErr w:type="spellEnd"/>
            <w:r>
              <w:t>)</w:t>
            </w:r>
          </w:p>
        </w:tc>
        <w:tc>
          <w:tcPr>
            <w:tcW w:w="6360" w:type="dxa"/>
            <w:tcBorders>
              <w:top w:val="nil"/>
              <w:left w:val="nil"/>
              <w:bottom w:val="single" w:sz="6" w:space="0" w:color="000000"/>
              <w:right w:val="single" w:sz="6" w:space="0" w:color="000000"/>
            </w:tcBorders>
            <w:tcMar>
              <w:top w:w="0" w:type="dxa"/>
              <w:left w:w="20" w:type="dxa"/>
              <w:bottom w:w="0" w:type="dxa"/>
              <w:right w:w="20" w:type="dxa"/>
            </w:tcMar>
          </w:tcPr>
          <w:p w14:paraId="4403C327" w14:textId="77777777" w:rsidR="009A0710" w:rsidRDefault="00000000" w:rsidP="00250139">
            <w:pPr>
              <w:spacing w:after="0"/>
              <w:jc w:val="left"/>
            </w:pPr>
            <w:r>
              <w:t xml:space="preserve">Analyse speech and language characteristics captured through short conversational or assessment-based interactions. These solutions can extract acoustic and linguistic features that may </w:t>
            </w:r>
            <w:r>
              <w:lastRenderedPageBreak/>
              <w:t>support the identification of changes in cognitive, emotional, or behavioural status and provide decision-support information for clinicians and carers.</w:t>
            </w:r>
          </w:p>
        </w:tc>
      </w:tr>
      <w:tr w:rsidR="009A0710" w14:paraId="32C978A4" w14:textId="77777777">
        <w:trPr>
          <w:trHeight w:val="915"/>
        </w:trPr>
        <w:tc>
          <w:tcPr>
            <w:tcW w:w="2805" w:type="dxa"/>
            <w:tcBorders>
              <w:top w:val="nil"/>
              <w:left w:val="single" w:sz="6" w:space="0" w:color="000000"/>
              <w:bottom w:val="single" w:sz="6" w:space="0" w:color="000000"/>
              <w:right w:val="single" w:sz="6" w:space="0" w:color="000000"/>
            </w:tcBorders>
            <w:tcMar>
              <w:top w:w="0" w:type="dxa"/>
              <w:left w:w="20" w:type="dxa"/>
              <w:bottom w:w="0" w:type="dxa"/>
              <w:right w:w="20" w:type="dxa"/>
            </w:tcMar>
          </w:tcPr>
          <w:p w14:paraId="622EE366" w14:textId="77777777" w:rsidR="009A0710" w:rsidRDefault="00000000" w:rsidP="00250139">
            <w:pPr>
              <w:spacing w:after="0"/>
              <w:jc w:val="left"/>
            </w:pPr>
            <w:r>
              <w:lastRenderedPageBreak/>
              <w:t>Acoustic Event Sensor (IoT)</w:t>
            </w:r>
          </w:p>
        </w:tc>
        <w:tc>
          <w:tcPr>
            <w:tcW w:w="6360" w:type="dxa"/>
            <w:tcBorders>
              <w:top w:val="nil"/>
              <w:left w:val="nil"/>
              <w:bottom w:val="single" w:sz="6" w:space="0" w:color="000000"/>
              <w:right w:val="single" w:sz="6" w:space="0" w:color="000000"/>
            </w:tcBorders>
            <w:tcMar>
              <w:top w:w="0" w:type="dxa"/>
              <w:left w:w="20" w:type="dxa"/>
              <w:bottom w:w="0" w:type="dxa"/>
              <w:right w:w="20" w:type="dxa"/>
            </w:tcMar>
          </w:tcPr>
          <w:p w14:paraId="3BD69972" w14:textId="77777777" w:rsidR="009A0710" w:rsidRDefault="00000000" w:rsidP="00250139">
            <w:pPr>
              <w:spacing w:after="0"/>
              <w:jc w:val="left"/>
            </w:pPr>
            <w:r>
              <w:t>Use microphones and audio processing technologies to detect and classify sounds within the home environment. Typical applications include identifying calls for help, potential fall-related events, alarms, and other critical domestic sounds, with alerts generated locally or transmitted to connected monitoring systems</w:t>
            </w:r>
          </w:p>
        </w:tc>
      </w:tr>
    </w:tbl>
    <w:p w14:paraId="7625F754" w14:textId="77777777" w:rsidR="009A0710" w:rsidRDefault="009A0710">
      <w:pPr>
        <w:spacing w:after="120"/>
      </w:pPr>
    </w:p>
    <w:p w14:paraId="298E43DC" w14:textId="77777777" w:rsidR="009A0710" w:rsidRDefault="00000000">
      <w:pPr>
        <w:spacing w:after="120"/>
      </w:pPr>
      <w:r>
        <w:t xml:space="preserve">Audio balances utility and intrusiveness: voice is a rich health signal and a natural interface for elderly users, but an open mic risks capturing private conversation. CHS-Care will use explicit opt-in only, prioritise short periodic recordings over continuous listening, run processing locally/at the edge where feasible, extract features and delete raw audio, and integrate mature APIs (e.g., </w:t>
      </w:r>
      <w:proofErr w:type="spellStart"/>
      <w:r>
        <w:t>AcceXible</w:t>
      </w:r>
      <w:proofErr w:type="spellEnd"/>
      <w:r>
        <w:t>) rather than build from scratch — subject to clinical validation.</w:t>
      </w:r>
    </w:p>
    <w:p w14:paraId="51CE0997" w14:textId="77777777" w:rsidR="009A0710" w:rsidRDefault="00000000">
      <w:pPr>
        <w:spacing w:after="120"/>
      </w:pPr>
      <w:r>
        <w:t>Advances in speech analysis and vocal biomarker research are expected to improve as larger and more diverse multilingual datasets become available, enabling the development of more robust and inclusive models across different languages and populations. Smart-home devices and edge-based technologies are also increasingly supporting local audio processing, enabling the detection of events such as distress calls, abnormal vocal patterns, and other clinically relevant acoustic indicators without the need to continuously transmit raw audio to the cloud.</w:t>
      </w:r>
    </w:p>
    <w:p w14:paraId="6852C84F" w14:textId="77777777" w:rsidR="009A0710" w:rsidRDefault="00000000">
      <w:pPr>
        <w:spacing w:after="120"/>
      </w:pPr>
      <w:r>
        <w:t xml:space="preserve">However, the use of audio technologies in health and social care continues to raise important privacy, security, ethical, and regulatory considerations. Future deployments will need to comply with evolving European regulatory frameworks, including the proposed </w:t>
      </w:r>
      <w:proofErr w:type="spellStart"/>
      <w:r>
        <w:t>ePrivacy</w:t>
      </w:r>
      <w:proofErr w:type="spellEnd"/>
      <w:r>
        <w:t xml:space="preserve"> Regulation governing electronic communications and connected devices, and the EU AI Act (Regulation (EU) 2024/1689), which introduces transparency requirements for emotion recognition systems and classifies certain emotion recognition applications as high-risk AI systems. As a result, future solutions will need to balance innovation with transparency, accountability, privacy protection, and user trust.</w:t>
      </w:r>
    </w:p>
    <w:p w14:paraId="4ADB7277" w14:textId="77777777" w:rsidR="009A0710" w:rsidRDefault="00000000">
      <w:pPr>
        <w:pStyle w:val="Heading2"/>
      </w:pPr>
      <w:bookmarkStart w:id="19" w:name="_Toc241485652"/>
      <w:r>
        <w:t>5.5 Key Challenges</w:t>
      </w:r>
      <w:bookmarkEnd w:id="19"/>
    </w:p>
    <w:p w14:paraId="5FC30B0E" w14:textId="77777777" w:rsidR="009A0710" w:rsidRDefault="00000000">
      <w:r>
        <w:t>Despite significant advances in wearable devices and IoT sensing technologies, several challenges continue to limit their effectiveness and adoption in older person care. A key challenge relates to access to and ownership of monitoring data. Many devices operate within proprietary ecosystems where data is stored and managed through vendor-specific platforms, creating dependencies on third-party services and making integration with broader health and social care systems more difficult. Direct access to raw and processed monitoring data is often restricted, limiting interoperability and the ability to combine information from multiple sources.</w:t>
      </w:r>
    </w:p>
    <w:p w14:paraId="588C1165" w14:textId="77777777" w:rsidR="009A0710" w:rsidRDefault="00000000">
      <w:r>
        <w:t xml:space="preserve">Additional challenges include interoperability between devices from different manufacturers, variations in sensor accuracy and reliability, and the need to integrate data collected using </w:t>
      </w:r>
      <w:r>
        <w:lastRenderedPageBreak/>
        <w:t>different sensing technologies and communication standards. Ensuring that devices are suitable for older persons is also critical. Technologies must be usable by individuals with differing levels of physical ability, cognitive function, vision, hearing, and digital literacy. User comfort, acceptability, battery life, maintenance requirements, and long-term adherence all influence the effectiveness of monitoring solutions in real-world environments.</w:t>
      </w:r>
    </w:p>
    <w:p w14:paraId="10842C75" w14:textId="77777777" w:rsidR="009A0710" w:rsidRDefault="00000000">
      <w:r>
        <w:t>Finally, while wearable and environmental sensors can generate large volumes of continuous data, determining which parameters provide the greatest value for health and social care decision-making remains an important challenge. The objective is not simply to collect more information, but to collect the right information in a reliable manner and transform it into meaningful, actionable insights that support older persons, carers, and healthcare professionals.</w:t>
      </w:r>
    </w:p>
    <w:p w14:paraId="39AA3309" w14:textId="77777777" w:rsidR="009A0710" w:rsidRDefault="00000000">
      <w:pPr>
        <w:pStyle w:val="Heading1"/>
      </w:pPr>
      <w:bookmarkStart w:id="20" w:name="_Toc241485653"/>
      <w:r>
        <w:t>6.1 Generative AI Screening Technologies</w:t>
      </w:r>
      <w:bookmarkEnd w:id="20"/>
    </w:p>
    <w:p w14:paraId="5174B264" w14:textId="77777777" w:rsidR="009A0710" w:rsidRDefault="00000000">
      <w:pPr>
        <w:pStyle w:val="Heading2"/>
      </w:pPr>
      <w:bookmarkStart w:id="21" w:name="_Toc241485654"/>
      <w:r>
        <w:t>6.1 Introduction</w:t>
      </w:r>
      <w:bookmarkEnd w:id="21"/>
    </w:p>
    <w:p w14:paraId="04EC832B" w14:textId="77777777" w:rsidR="009A0710" w:rsidRDefault="00000000">
      <w:r>
        <w:t>Collecting reliable information about an individual’s health status is a central component of healthcare. Advances in AI and Natural Language Processing (NLP) have created new opportunities for collecting health information through natural language interaction, conversationally. Conversational agents are increasingly explored as ways to gather Patient Reported Outcome Measures (PROMs), a structured assessment framework with carefully designed questions and responses to support health monitoring and care planning. These assessments differ from traditional assessments in that PROMs do not require clinician involvement. Delivering such assessments with a conversational approach could further improve accessibility and engagement, enabling individuals to report health information in a natural and intuitive way.</w:t>
      </w:r>
    </w:p>
    <w:p w14:paraId="0070BE20" w14:textId="77777777" w:rsidR="009A0710" w:rsidRDefault="00000000">
      <w:r>
        <w:t>In a conversational self-assessment system, users report their lived experiences through a conversation rather than static forms. These systems can bring the patient to the centre of the care process, allowing them to describe their situation in their own words. Conversational systems may also capture contextual information which is often lost in fixed questionnaires. However, transforming structured assessments into a conversation introduces several challenges. The system must determine how to map the conversation input to the structured clinical assessment, it should provide explanations for this mapping that align and support caregiver’s reasoning and should maintain clinical validity throughout the assessment, so outcomes remain viable. The following sections review key research directions and discuss the main challenges related to conversational self-assessments.</w:t>
      </w:r>
    </w:p>
    <w:p w14:paraId="003A7944" w14:textId="77777777" w:rsidR="009A0710" w:rsidRDefault="00000000">
      <w:pPr>
        <w:pStyle w:val="Heading2"/>
      </w:pPr>
      <w:bookmarkStart w:id="22" w:name="_Toc241485655"/>
      <w:r>
        <w:lastRenderedPageBreak/>
        <w:t>6.2 Research Clusters</w:t>
      </w:r>
      <w:bookmarkEnd w:id="22"/>
    </w:p>
    <w:p w14:paraId="5E4ADC8D" w14:textId="77777777" w:rsidR="009A0710" w:rsidRDefault="00000000">
      <w:pPr>
        <w:pStyle w:val="Heading3"/>
        <w:ind w:left="0"/>
      </w:pPr>
      <w:bookmarkStart w:id="23" w:name="_heading=h.y1nbl1xoiagt" w:colFirst="0" w:colLast="0"/>
      <w:bookmarkEnd w:id="23"/>
      <w:r>
        <w:t>6.2.1 Conversational Health Agents for Patient Self-Report and Assessment</w:t>
      </w:r>
    </w:p>
    <w:p w14:paraId="78FBF10F" w14:textId="77777777" w:rsidR="009A0710" w:rsidRDefault="00000000">
      <w:r>
        <w:t>Conversational agents are increasingly being explored as tools for collecting information through natural language interactions. These techniques have been explored in a whole array of domains, including education and healthcare. In healthcare, these systems are designed to enable users to report symptoms, behaviours, and well-being through a dialogue, replacing or supplementing traditional questionnaires or consultations. In digital health research, these tools have been studied in several tasks such as symptom reporting, follow-up monitoring, mental health support. These systems aim to make health data collection a more rounded activity, encouraging users to provide richer detail and capturing contextual information that would otherwise be lost while easing the burden of traditional assessments.</w:t>
      </w:r>
    </w:p>
    <w:p w14:paraId="745BCD19" w14:textId="77777777" w:rsidR="009A0710" w:rsidRDefault="00000000">
      <w:r>
        <w:t>For older adults in particular, conversational interfaces offer advantages to conventional digital platforms. Speech-based interaction lowers the barriers to adoption and allows users to express concerns and questions in a more natural manner. Most existing systems target boosted interaction quality and user engagement, while relatively little attention has been given to translating conversational responses into structured clinical assessments. It is worth noting that studies in this area tend towards voluntary participation and indicate large drops in participation over time. Bridging the gap between conversational data and standardised assessment frameworks remains a key challenge.</w:t>
      </w:r>
    </w:p>
    <w:p w14:paraId="00D833A5" w14:textId="77777777" w:rsidR="009A0710" w:rsidRDefault="00000000">
      <w:pPr>
        <w:pStyle w:val="Heading3"/>
      </w:pPr>
      <w:bookmarkStart w:id="24" w:name="_heading=h.aw1x2uxbhb4u" w:colFirst="0" w:colLast="0"/>
      <w:bookmarkEnd w:id="24"/>
      <w:r>
        <w:t>6.2.2 Adaptive Questioning/Next-Question Policies</w:t>
      </w:r>
    </w:p>
    <w:p w14:paraId="0141E24A" w14:textId="77777777" w:rsidR="009A0710" w:rsidRDefault="00000000">
      <w:r>
        <w:t>An area of study are the so-called adaptive questioning methods. In a traditional questionnaire, the same questions are presented in the same order to everyone, regardless of their relevance to the individual being. A system which employs adaptive questioning aims to alter the question order by dynamically selecting the next question with the highest discriminating ability, i.e. the most informative, and skipping irrelevant ones. This method can reduce the overall burden by reducing the overall length of the assessment.</w:t>
      </w:r>
    </w:p>
    <w:p w14:paraId="5792DDD7" w14:textId="77777777" w:rsidR="009A0710" w:rsidRDefault="00000000">
      <w:r>
        <w:t>In health assessment research, this has been explored through Computerised Adaptive testing (CAT)-like methods, which dynamically select the most informative questions from an item bank based on the respondent’s answers. This type of system requires mechanisms that allow the system to determine which question should be asked at each stage of the interaction. This typically relies on a representation of the user's current state, user model. This model can capture information gathered during the interaction and boosted with additional background information. This model allows the system to estimate focal points and skippable sections. Therefore, these systems combine mechanisms for tracking users with question-selection strategies to maximise information gain and minimise interaction effort, a complex balance.</w:t>
      </w:r>
    </w:p>
    <w:p w14:paraId="385565D8" w14:textId="77777777" w:rsidR="009A0710" w:rsidRDefault="00000000">
      <w:pPr>
        <w:pStyle w:val="Heading3"/>
      </w:pPr>
      <w:bookmarkStart w:id="25" w:name="_heading=h.zdwc468zabts" w:colFirst="0" w:colLast="0"/>
      <w:bookmarkEnd w:id="25"/>
      <w:r>
        <w:lastRenderedPageBreak/>
        <w:t>6.2.3 Structured Extraction from Free Text</w:t>
      </w:r>
    </w:p>
    <w:p w14:paraId="3F30EDCE" w14:textId="77777777" w:rsidR="009A0710" w:rsidRDefault="00000000">
      <w:r>
        <w:t>Transforming conversational responses into structured assessment data that can be used by clinicians requires methods capable of extracting clinically relevant information from free text. The process involves mapping free-form utterances from conversation to predefined, validated assessment items. In healthcare contexts, structured extraction has been widely studied from clinical notes rather than conversational inputs. A working process of this sort would allow conversational input to serve as an alternative channel for structured assessment tools.</w:t>
      </w:r>
    </w:p>
    <w:p w14:paraId="531FC59C" w14:textId="77777777" w:rsidR="009A0710" w:rsidRDefault="00000000">
      <w:r>
        <w:t>Extracting structured information from conversation input is possible, but ensuring reliability remains a key challenge. Inherently, conversational input introduces uncertainty due to variability in language, completeness and contextual ambiguity. Recent developments have brought forth techniques to improve the mapping ability of the model and quantify its uncertainty. Model-inherent bias mitigation, ensemble-based estimations, probabilistic predictions and self-verbalising methods can improve prediction performance and provide indicators of prediction reliability. These can be coupled with model-independent techniques like rule-based validation to boost indications prediction reliability. By exposing uncertainty signals the system can flag uncertain interpretations, support human oversight, and maintain the validity of structured health assessments derived from conversational input.</w:t>
      </w:r>
    </w:p>
    <w:p w14:paraId="04ECE058" w14:textId="77777777" w:rsidR="009A0710" w:rsidRDefault="00000000">
      <w:pPr>
        <w:pStyle w:val="Heading3"/>
      </w:pPr>
      <w:bookmarkStart w:id="26" w:name="_heading=h.jcmxtrqanvb9" w:colFirst="0" w:colLast="0"/>
      <w:bookmarkEnd w:id="26"/>
      <w:r>
        <w:t>6.2.4 PROMs and Questionnaire-to-Conversation</w:t>
      </w:r>
    </w:p>
    <w:p w14:paraId="0E674E50" w14:textId="77777777" w:rsidR="009A0710" w:rsidRDefault="00000000">
      <w:r>
        <w:t xml:space="preserve">Patient Reported Outcome Measures have come into favour as they collect information directly from patients, in their own words. PROMs such as PROMIS, EQ-5D, or </w:t>
      </w:r>
      <w:proofErr w:type="spellStart"/>
      <w:r>
        <w:t>InterRAI’s</w:t>
      </w:r>
      <w:proofErr w:type="spellEnd"/>
      <w:r>
        <w:t xml:space="preserve"> CUSR typically consist of fixed questions with Likert-scaled responses enabling consistent scoring and interpretation across clinical settings. Instruments like these create a foundation for monitoring health and supporting decision making, and importantly, don’t necessarily need to be administered by a clinician.</w:t>
      </w:r>
    </w:p>
    <w:p w14:paraId="2C340B56" w14:textId="77777777" w:rsidR="009A0710" w:rsidRDefault="00000000">
      <w:r>
        <w:t>Recent developments in LLMs have increased interest into conversational administration of questionnaire-based assessments. Approaches tend to build on the pre-defined set of questions from a PROM assessment. The interaction is made conversational through natural language communication with a bot which can adapt to the user, ask follow-ups and engage the user. The conversational format may reduce cognitive burden and support natural interactions, however, designing clinically valid conversations from pre-defined items, while keeping them shorter than traditional form-based assessments, remains underexplored.</w:t>
      </w:r>
    </w:p>
    <w:p w14:paraId="63A3A587" w14:textId="77777777" w:rsidR="009A0710" w:rsidRDefault="00000000">
      <w:pPr>
        <w:pStyle w:val="Heading3"/>
      </w:pPr>
      <w:bookmarkStart w:id="27" w:name="_heading=h.4a4akew9edzf" w:colFirst="0" w:colLast="0"/>
      <w:bookmarkEnd w:id="27"/>
      <w:r>
        <w:t>6.2.5 Explainability for AI-derived Health-Assessments</w:t>
      </w:r>
    </w:p>
    <w:p w14:paraId="18120A3B" w14:textId="77777777" w:rsidR="009A0710" w:rsidRDefault="00000000">
      <w:r>
        <w:t xml:space="preserve">As AI-powered systems are increasingly used to support clinical decision-making. The outputs of an AI system may influence how caregivers interpret and act on a patient’s situation. Ensuring the outputs can be understood and trusted becomes essential. Explainable Artificial Intelligence (XAI) aims to create explainability techniques that make AI behaviour and reasoning more </w:t>
      </w:r>
      <w:r>
        <w:lastRenderedPageBreak/>
        <w:t>transparent by a manifold of techniques. Through these human-operators could be able to understand, verify and contest automated decisions.</w:t>
      </w:r>
    </w:p>
    <w:p w14:paraId="071F3947" w14:textId="77777777" w:rsidR="009A0710" w:rsidRDefault="00000000">
      <w:r>
        <w:t>Traditional XAI has focused on improving transparency by gearing the explanations towards AI specialists. In healthcare applications, explanations must be tailored to the needs of the caregivers, who will likely not have the same technical expertise. Techniques such as feature importance to highlight influential variables, example-based explanations that show similar cases, or presenting intermediate reasoning steps linking input to output have surfaced from this field. Many of these approaches are focused on explaining behaviour on a technical level and may not directly support the needs of the caregiver. Designing explanations that clearly link conversational evidence to AI-derived mappings, health indicators or actions is an open challenge.</w:t>
      </w:r>
    </w:p>
    <w:p w14:paraId="53E502FA" w14:textId="77777777" w:rsidR="009A0710" w:rsidRDefault="00000000">
      <w:pPr>
        <w:pStyle w:val="Heading3"/>
      </w:pPr>
      <w:bookmarkStart w:id="28" w:name="_heading=h.q2uiw5g3sv6r" w:colFirst="0" w:colLast="0"/>
      <w:bookmarkEnd w:id="28"/>
      <w:r>
        <w:t>6.2.6 Alignment for Healthcare Dialogue</w:t>
      </w:r>
    </w:p>
    <w:p w14:paraId="13B014C7" w14:textId="77777777" w:rsidR="009A0710" w:rsidRDefault="00000000">
      <w:r>
        <w:t>Alignment for healthcare dialogue means ensuring that conversational systems behave in ways that are appropriate for both the user and the healthcare assessment context.</w:t>
      </w:r>
    </w:p>
    <w:p w14:paraId="6519D59B" w14:textId="77777777" w:rsidR="009A0710" w:rsidRDefault="00000000">
      <w:r>
        <w:t>Conversational self-assessments have the distinct advantage that they can adapt their communication style across users in real time to the capabilities, knowledge and preferences of the user. Nevertheless, these systems must ensure that questions are phrased clearly, asked at an appropriate pace, and structured in a way that support accurate responses.</w:t>
      </w:r>
    </w:p>
    <w:p w14:paraId="2B2487CE" w14:textId="77777777" w:rsidR="009A0710" w:rsidRDefault="00000000">
      <w:r>
        <w:t>At the same time, conversational systems, especially ones that can adapt questions must ensure that dialogue remains aligned with the requirements of the healthcare assessments. Conversational interactions must minimise ambiguity and remain clinically valid if assessments are to be used as part of a structured assessment for production of meaningful health indicators. Maintaining the alignment between conversational interactions and structured assessment frameworks is essential and remains underexplored.</w:t>
      </w:r>
    </w:p>
    <w:p w14:paraId="337AC447" w14:textId="77777777" w:rsidR="009A0710" w:rsidRDefault="00000000">
      <w:pPr>
        <w:pStyle w:val="Heading2"/>
      </w:pPr>
      <w:bookmarkStart w:id="29" w:name="_Toc241485656"/>
      <w:r>
        <w:t>6.3 Key Challenges</w:t>
      </w:r>
      <w:bookmarkEnd w:id="29"/>
    </w:p>
    <w:p w14:paraId="07C8947D" w14:textId="77777777" w:rsidR="009A0710" w:rsidRDefault="00000000">
      <w:pPr>
        <w:pStyle w:val="Heading3"/>
        <w:ind w:left="0"/>
      </w:pPr>
      <w:bookmarkStart w:id="30" w:name="_heading=h.3xbm89s6nmcc" w:colFirst="0" w:colLast="0"/>
      <w:bookmarkEnd w:id="30"/>
      <w:r>
        <w:t>6.3.1 Mapping Conversational Input to Structured Clinical Assessments</w:t>
      </w:r>
    </w:p>
    <w:p w14:paraId="34F537D5" w14:textId="77777777" w:rsidR="009A0710" w:rsidRDefault="00000000">
      <w:r>
        <w:t xml:space="preserve">The central challenge in conversational self-assessment systems is the reliable translation of conversations into structured clinical assessment items. Conversational interfaces enable users to describe lived experiences in natural language, which is varied, context dependent and ambiguous. Clinical assessment frameworks are rigid and rely on predefined questions and response scales. Systems must therefore determine whether the conversation provides enough information to interpret the user’s situation. This will often require generating follow-up questions to clarify ambiguous responses or request additional details. Ensuring the validity of the system’s interpretation remains difficult. Validation strategies exist which can theoretically improve </w:t>
      </w:r>
      <w:r>
        <w:lastRenderedPageBreak/>
        <w:t>performance. How to best map conversational input to structured assessment frameworks while reducing the burden of such assessments, this being the overall goal, remains a challenge.</w:t>
      </w:r>
    </w:p>
    <w:p w14:paraId="3E6BB79A" w14:textId="77777777" w:rsidR="009A0710" w:rsidRDefault="00000000">
      <w:pPr>
        <w:pStyle w:val="Heading3"/>
        <w:ind w:left="0"/>
      </w:pPr>
      <w:bookmarkStart w:id="31" w:name="_heading=h.vq50q1idmg5v" w:colFirst="0" w:colLast="0"/>
      <w:bookmarkEnd w:id="31"/>
      <w:r>
        <w:t>6.3.2 Providing explanations that Support Clinical Reasoning</w:t>
      </w:r>
    </w:p>
    <w:p w14:paraId="456F64E3" w14:textId="77777777" w:rsidR="009A0710" w:rsidRDefault="00000000">
      <w:r>
        <w:t>Structured assessments are a support tool for caregivers, which allow them to make decisions which will affect the health profile of their patients. Providing explanations that support their reasoning is therefore a key challenge for AI-derived structured assessments. Explanations play an important role in supporting trust and clinical reasoning by allowing professionals to understand, verify and possibly contest the system’s interpretation without overbearing the user. Techniques exist, but approaches focus on technical transparency rather than practical interpretability. Developing explanation mechanisms that balance transparency with usability and align with the reasoning of the caregivers remains an important challenge.</w:t>
      </w:r>
    </w:p>
    <w:p w14:paraId="5D7E3F6A" w14:textId="77777777" w:rsidR="009A0710" w:rsidRDefault="00000000">
      <w:pPr>
        <w:pStyle w:val="Heading3"/>
        <w:ind w:left="0"/>
      </w:pPr>
      <w:bookmarkStart w:id="32" w:name="_heading=h.aj5irn22dcao" w:colFirst="0" w:colLast="0"/>
      <w:bookmarkEnd w:id="32"/>
      <w:r>
        <w:t>6.3.3 Maintaining Clinical Validity in Conversational Assessments</w:t>
      </w:r>
    </w:p>
    <w:p w14:paraId="4F53B560" w14:textId="77777777" w:rsidR="009A0710" w:rsidRDefault="00000000">
      <w:r>
        <w:t>A key challenge in transforming questionnaires into naturally unique conversations is preserving the validity of the original clinical instrument. Traditional questionnaires present a carefully curated set of items with deliberate wording and response scales, which do not fit well in conversations or adaptability. Dynamically adjusted questions delivered through a conversation cannot be reviewed to the level of the frameworks they build from. Designing questions in conversation that remain faithful to the intent of the original assessment items therefore remains a key challenge.</w:t>
      </w:r>
    </w:p>
    <w:p w14:paraId="596204FB" w14:textId="77777777" w:rsidR="009A0710" w:rsidRDefault="00000000">
      <w:pPr>
        <w:pStyle w:val="Heading3"/>
      </w:pPr>
      <w:bookmarkStart w:id="33" w:name="_heading=h.m7oexnwr6zph" w:colFirst="0" w:colLast="0"/>
      <w:bookmarkEnd w:id="33"/>
      <w:r>
        <w:t>6.3.4 Additional Considerations: Engagement, Bias, and Heterogeneity</w:t>
      </w:r>
    </w:p>
    <w:p w14:paraId="2065FA9C" w14:textId="77777777" w:rsidR="009A0710" w:rsidRDefault="00000000">
      <w:r>
        <w:t>The successful deployment of conversational self-assessments must address broader practical considerations such as engagement, bias, and heterogeneity. On the face of it, conversational interfaces can encourage participation by providing a more natural and accessible interaction, however, sustaining participation over time remains difficult. Systems must therefore be designed to encourage continued participation. Over time, the issue of Digital Ageism has come to light, whereby older adults are excluded from digital advancements. Exclusion of older adults as a large demographic has led to algorithms and design bias, limiting their access to digital opportunities. This project should seek to address this imbalance by incorporating older adults into the system design. Conversational assessments will operate across heterogeneous populations. There will be variations in language, norms and communication styles. Ensuring that a conversation assessment is robust across different contexts remains an important area of ongoing research.</w:t>
      </w:r>
    </w:p>
    <w:p w14:paraId="034BFBF5" w14:textId="77777777" w:rsidR="009A0710" w:rsidRDefault="00000000">
      <w:pPr>
        <w:pStyle w:val="Heading1"/>
      </w:pPr>
      <w:bookmarkStart w:id="34" w:name="_Toc241485657"/>
      <w:r>
        <w:t>7. Digital Twins and Edge Computing</w:t>
      </w:r>
      <w:bookmarkEnd w:id="34"/>
      <w:r>
        <w:t xml:space="preserve"> </w:t>
      </w:r>
    </w:p>
    <w:p w14:paraId="150D8BD8" w14:textId="77777777" w:rsidR="009A0710" w:rsidRDefault="00000000">
      <w:r>
        <w:t xml:space="preserve">The CHS-Care Platform leverages the synergies between cloud computing, data analytics, AI, and sensor technologies to pave the way for a more proactive, personalized, and efficient </w:t>
      </w:r>
      <w:r>
        <w:lastRenderedPageBreak/>
        <w:t xml:space="preserve">approach to health and social care management. For the CHS-Care platform to be effective for data analytics by AI it requires vast amounts of health data, which can then be used to create continuously up to date and real time digital or virtual versions of the older person (digital twin). </w:t>
      </w:r>
    </w:p>
    <w:p w14:paraId="43BAACE5" w14:textId="77777777" w:rsidR="009A0710" w:rsidRDefault="00000000">
      <w:pPr>
        <w:pStyle w:val="Heading2"/>
      </w:pPr>
      <w:bookmarkStart w:id="35" w:name="_Toc241485658"/>
      <w:r>
        <w:t>7.1 Digital Twins</w:t>
      </w:r>
      <w:bookmarkEnd w:id="35"/>
    </w:p>
    <w:p w14:paraId="6B87AC59" w14:textId="77777777" w:rsidR="009A0710" w:rsidRDefault="00000000">
      <w:r>
        <w:t>Initially digital twin technology was used in the space industry during the 1960’s as part of simulating the Apollo spacecraft, but the term was only devised much later in 2002 (</w:t>
      </w:r>
      <w:hyperlink r:id="rId10">
        <w:r>
          <w:rPr>
            <w:color w:val="1155CC"/>
            <w:u w:val="single"/>
          </w:rPr>
          <w:t>Nature 2026)</w:t>
        </w:r>
      </w:hyperlink>
      <w:r>
        <w:t xml:space="preserve">. Due to the emergence and connection of various technologies, IoT and AI, digital twins have been applied to many sectors including industrial, and manufacturing. This capability enabled engineers to run “what if” simulations to optimise operations, predict failures and refine processes before any actual change is implemented. This also minimises downtime and by focusing efforts on identified maintenance issues early and these apply to aerospace and automotive sectors. Other applications include digital twins of cities and even the planet to simulate impacts of various scenarios on climate. NVIDIA already have an “Earth 2” simulation platform that can be used to predict global weather and climate change. </w:t>
      </w:r>
    </w:p>
    <w:p w14:paraId="4EEBC665" w14:textId="77777777" w:rsidR="009A0710" w:rsidRDefault="00000000">
      <w:r>
        <w:t xml:space="preserve">The healthcare sector is also considering utilising this technology to improve patient care, and this has been done on an individual organ level, such as a virtual heart. This can help key stakeholders such as clinicians and patients for improved decision making and supporting clinical trials. For example, the virtual organ can be used to see how it reacts to different therapies or interventions. The eventual aim is that digital twins’ technology could be useful to track the health of individuals and act early. However, there are challenges associated with this task, one is associated with fragmented data sources with lack of standardisation of data and real time data heterogeneous data integration. An additional challenge is how to build trustworthy models that are accurate and reliable for making critical decisions. The other issues that require tackling are those related to ethical, data privacy, cybersecurity and governance concerns. </w:t>
      </w:r>
    </w:p>
    <w:p w14:paraId="4626F878" w14:textId="77777777" w:rsidR="009A0710" w:rsidRDefault="00000000">
      <w:r>
        <w:t>In CHS-Care we will develop simple digital twins that allow proactive and early decision making for older persons. Digital twins provide the possibility of greater insights into which patients are most likely to benefit from preventive measures, early screenings, modifications of lifestyle, or specific healthcare interventions. This targeted approach to older persons improves the allocation of limited healthcare resources, reduces costs, and improves patient outcomes. In this work we will also consider the use of digital twin technology for implementing an integrated remote monitoring platform architecture for older persons.</w:t>
      </w:r>
    </w:p>
    <w:p w14:paraId="6016DD06" w14:textId="77777777" w:rsidR="009A0710" w:rsidRDefault="00000000">
      <w:pPr>
        <w:pStyle w:val="Heading2"/>
      </w:pPr>
      <w:bookmarkStart w:id="36" w:name="_Toc241485659"/>
      <w:r>
        <w:t>7.2 Edge Processing</w:t>
      </w:r>
      <w:bookmarkEnd w:id="36"/>
    </w:p>
    <w:p w14:paraId="682A0951" w14:textId="77777777" w:rsidR="009A0710" w:rsidRDefault="00000000">
      <w:r>
        <w:t xml:space="preserve">Edge processing can be easily defined as a distributed computing framework that allows data processing close to its source such as a sensor or wearable (IoT devices), local device, or edge server which then avoids sending large amounts of raw data to the cloud.  This has considerable advantages as analysing data proximity to where it is collected results in faster response (latency) and less data use to achieve objectives (bandwidth). Other advantages include improved </w:t>
      </w:r>
      <w:r>
        <w:lastRenderedPageBreak/>
        <w:t>reliability, as there is ability to process data even when there is no cloud connection. Also, due to less data being transferred to the cloud, this ensures improved privacy.</w:t>
      </w:r>
    </w:p>
    <w:p w14:paraId="2FB455F9" w14:textId="77777777" w:rsidR="009A0710" w:rsidRDefault="00000000">
      <w:r>
        <w:t>Edge processing has been made more accessible due to the miniaturisation of hardware, compute power, affordability and network connectivity.  One example of this in healthcare is where smart wearables analyse heart rates and other vital signs on the device which allows the possibility of immediate alerts to patients and clinicians. Various analysis methods are possible such as machine learning and deep learning using federated architectures (</w:t>
      </w:r>
      <w:hyperlink r:id="rId11">
        <w:r>
          <w:rPr>
            <w:color w:val="1155CC"/>
            <w:u w:val="single"/>
          </w:rPr>
          <w:t>Edge computing</w:t>
        </w:r>
      </w:hyperlink>
      <w:r>
        <w:t>) that support data privacy and real time decision making.</w:t>
      </w:r>
    </w:p>
    <w:p w14:paraId="3452FA5D" w14:textId="77777777" w:rsidR="009A0710" w:rsidRDefault="00000000">
      <w:r>
        <w:t>In healthcare the use of edge computing avoids reliance on a centralised cloud infrastructure by enabling data processing at the location where data is collected. It allows fast analysis, and accelerated decision making and shorter emergency response times, which are critical for older person care as they may be suffering from multiple chronic conditions. Additionally, this approach avoids data breaches and adherence to General Data Protection Regulations (GDPR and UK GDPR).</w:t>
      </w:r>
    </w:p>
    <w:p w14:paraId="6E5B9182" w14:textId="77777777" w:rsidR="009A0710" w:rsidRDefault="00000000">
      <w:r>
        <w:t>The types of edge processing devices in healthcare fall into the three types:</w:t>
      </w:r>
    </w:p>
    <w:p w14:paraId="49EA0C41" w14:textId="77777777" w:rsidR="009A0710" w:rsidRDefault="00000000">
      <w:pPr>
        <w:spacing w:before="120" w:after="80"/>
        <w:rPr>
          <w:b/>
          <w:bCs/>
          <w:i/>
          <w:iCs/>
        </w:rPr>
      </w:pPr>
      <w:r>
        <w:rPr>
          <w:b/>
          <w:bCs/>
          <w:i/>
          <w:iCs/>
        </w:rPr>
        <w:t>Table 5 – Edge Processing Devices and Examples</w:t>
      </w:r>
    </w:p>
    <w:tbl>
      <w:tblPr>
        <w:tblStyle w:val="aff4"/>
        <w:tblW w:w="903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36"/>
        <w:gridCol w:w="5498"/>
      </w:tblGrid>
      <w:tr w:rsidR="009A0710" w14:paraId="48309366" w14:textId="77777777">
        <w:trPr>
          <w:trHeight w:val="240"/>
        </w:trPr>
        <w:tc>
          <w:tcPr>
            <w:tcW w:w="3536" w:type="dxa"/>
            <w:tcBorders>
              <w:top w:val="single" w:sz="6" w:space="0" w:color="000000"/>
              <w:left w:val="single" w:sz="6" w:space="0" w:color="000000"/>
              <w:bottom w:val="single" w:sz="6" w:space="0" w:color="000000"/>
              <w:right w:val="single" w:sz="6" w:space="0" w:color="000000"/>
            </w:tcBorders>
            <w:shd w:val="clear" w:color="auto" w:fill="D9D9D9"/>
            <w:tcMar>
              <w:top w:w="0" w:type="dxa"/>
              <w:left w:w="20" w:type="dxa"/>
              <w:bottom w:w="0" w:type="dxa"/>
              <w:right w:w="20" w:type="dxa"/>
            </w:tcMar>
          </w:tcPr>
          <w:p w14:paraId="32E50656" w14:textId="77777777" w:rsidR="009A0710" w:rsidRDefault="00000000">
            <w:pPr>
              <w:spacing w:after="0"/>
            </w:pPr>
            <w:r>
              <w:t>Type</w:t>
            </w:r>
          </w:p>
        </w:tc>
        <w:tc>
          <w:tcPr>
            <w:tcW w:w="5498" w:type="dxa"/>
            <w:tcBorders>
              <w:top w:val="single" w:sz="6" w:space="0" w:color="000000"/>
              <w:left w:val="nil"/>
              <w:bottom w:val="single" w:sz="6" w:space="0" w:color="000000"/>
              <w:right w:val="single" w:sz="6" w:space="0" w:color="000000"/>
            </w:tcBorders>
            <w:shd w:val="clear" w:color="auto" w:fill="D9D9D9"/>
            <w:tcMar>
              <w:top w:w="0" w:type="dxa"/>
              <w:left w:w="20" w:type="dxa"/>
              <w:bottom w:w="0" w:type="dxa"/>
              <w:right w:w="20" w:type="dxa"/>
            </w:tcMar>
          </w:tcPr>
          <w:p w14:paraId="1730DA3A" w14:textId="77777777" w:rsidR="009A0710" w:rsidRDefault="00000000">
            <w:pPr>
              <w:spacing w:after="0"/>
            </w:pPr>
            <w:r>
              <w:t>Examples</w:t>
            </w:r>
          </w:p>
        </w:tc>
      </w:tr>
      <w:tr w:rsidR="009A0710" w14:paraId="4F9C63D1" w14:textId="77777777">
        <w:trPr>
          <w:trHeight w:val="915"/>
        </w:trPr>
        <w:tc>
          <w:tcPr>
            <w:tcW w:w="3536" w:type="dxa"/>
            <w:tcBorders>
              <w:top w:val="nil"/>
              <w:left w:val="single" w:sz="6" w:space="0" w:color="000000"/>
              <w:bottom w:val="single" w:sz="6" w:space="0" w:color="000000"/>
              <w:right w:val="single" w:sz="6" w:space="0" w:color="000000"/>
            </w:tcBorders>
            <w:tcMar>
              <w:top w:w="0" w:type="dxa"/>
              <w:left w:w="20" w:type="dxa"/>
              <w:bottom w:w="0" w:type="dxa"/>
              <w:right w:w="20" w:type="dxa"/>
            </w:tcMar>
          </w:tcPr>
          <w:p w14:paraId="0A938FF7" w14:textId="77777777" w:rsidR="009A0710" w:rsidRDefault="00000000">
            <w:pPr>
              <w:spacing w:after="0"/>
            </w:pPr>
            <w:r>
              <w:t>Patient worn or local sensors</w:t>
            </w:r>
          </w:p>
        </w:tc>
        <w:tc>
          <w:tcPr>
            <w:tcW w:w="5498" w:type="dxa"/>
            <w:tcBorders>
              <w:top w:val="nil"/>
              <w:left w:val="nil"/>
              <w:bottom w:val="single" w:sz="6" w:space="0" w:color="000000"/>
              <w:right w:val="single" w:sz="6" w:space="0" w:color="000000"/>
            </w:tcBorders>
            <w:tcMar>
              <w:top w:w="0" w:type="dxa"/>
              <w:left w:w="20" w:type="dxa"/>
              <w:bottom w:w="0" w:type="dxa"/>
              <w:right w:w="20" w:type="dxa"/>
            </w:tcMar>
          </w:tcPr>
          <w:p w14:paraId="5A06BD63" w14:textId="77777777" w:rsidR="009A0710" w:rsidRDefault="00000000">
            <w:pPr>
              <w:spacing w:after="0"/>
            </w:pPr>
            <w:r>
              <w:t>Smartwatches, motions sensors, etc.</w:t>
            </w:r>
          </w:p>
        </w:tc>
      </w:tr>
      <w:tr w:rsidR="009A0710" w14:paraId="4837F56E" w14:textId="77777777">
        <w:trPr>
          <w:trHeight w:val="915"/>
        </w:trPr>
        <w:tc>
          <w:tcPr>
            <w:tcW w:w="3536" w:type="dxa"/>
            <w:tcBorders>
              <w:top w:val="nil"/>
              <w:left w:val="single" w:sz="6" w:space="0" w:color="000000"/>
              <w:bottom w:val="single" w:sz="6" w:space="0" w:color="000000"/>
              <w:right w:val="single" w:sz="6" w:space="0" w:color="000000"/>
            </w:tcBorders>
            <w:tcMar>
              <w:top w:w="0" w:type="dxa"/>
              <w:left w:w="20" w:type="dxa"/>
              <w:bottom w:w="0" w:type="dxa"/>
              <w:right w:w="20" w:type="dxa"/>
            </w:tcMar>
          </w:tcPr>
          <w:p w14:paraId="3DAE357F" w14:textId="77777777" w:rsidR="009A0710" w:rsidRDefault="00000000">
            <w:pPr>
              <w:spacing w:after="0"/>
            </w:pPr>
            <w:r>
              <w:t>Local/gateway devices</w:t>
            </w:r>
          </w:p>
        </w:tc>
        <w:tc>
          <w:tcPr>
            <w:tcW w:w="5498" w:type="dxa"/>
            <w:tcBorders>
              <w:top w:val="nil"/>
              <w:left w:val="nil"/>
              <w:bottom w:val="single" w:sz="6" w:space="0" w:color="000000"/>
              <w:right w:val="single" w:sz="6" w:space="0" w:color="000000"/>
            </w:tcBorders>
            <w:tcMar>
              <w:top w:w="0" w:type="dxa"/>
              <w:left w:w="20" w:type="dxa"/>
              <w:bottom w:w="0" w:type="dxa"/>
              <w:right w:w="20" w:type="dxa"/>
            </w:tcMar>
          </w:tcPr>
          <w:p w14:paraId="5F472A8B" w14:textId="77777777" w:rsidR="009A0710" w:rsidRDefault="00000000">
            <w:pPr>
              <w:spacing w:after="0"/>
            </w:pPr>
            <w:r>
              <w:t>Smartphones, home hubs, etc.</w:t>
            </w:r>
          </w:p>
        </w:tc>
      </w:tr>
      <w:tr w:rsidR="009A0710" w14:paraId="722F6B11" w14:textId="77777777">
        <w:trPr>
          <w:trHeight w:val="915"/>
        </w:trPr>
        <w:tc>
          <w:tcPr>
            <w:tcW w:w="3536" w:type="dxa"/>
            <w:tcBorders>
              <w:top w:val="nil"/>
              <w:left w:val="single" w:sz="6" w:space="0" w:color="000000"/>
              <w:bottom w:val="single" w:sz="6" w:space="0" w:color="000000"/>
              <w:right w:val="single" w:sz="6" w:space="0" w:color="000000"/>
            </w:tcBorders>
            <w:tcMar>
              <w:top w:w="0" w:type="dxa"/>
              <w:left w:w="20" w:type="dxa"/>
              <w:bottom w:w="0" w:type="dxa"/>
              <w:right w:w="20" w:type="dxa"/>
            </w:tcMar>
          </w:tcPr>
          <w:p w14:paraId="25CF5C1F" w14:textId="77777777" w:rsidR="009A0710" w:rsidRDefault="00000000">
            <w:pPr>
              <w:spacing w:after="0"/>
            </w:pPr>
            <w:r>
              <w:t>Local edge</w:t>
            </w:r>
          </w:p>
        </w:tc>
        <w:tc>
          <w:tcPr>
            <w:tcW w:w="5498" w:type="dxa"/>
            <w:tcBorders>
              <w:top w:val="nil"/>
              <w:left w:val="nil"/>
              <w:bottom w:val="single" w:sz="6" w:space="0" w:color="000000"/>
              <w:right w:val="single" w:sz="6" w:space="0" w:color="000000"/>
            </w:tcBorders>
            <w:tcMar>
              <w:top w:w="0" w:type="dxa"/>
              <w:left w:w="20" w:type="dxa"/>
              <w:bottom w:w="0" w:type="dxa"/>
              <w:right w:w="20" w:type="dxa"/>
            </w:tcMar>
          </w:tcPr>
          <w:p w14:paraId="1F0DDEF7" w14:textId="77777777" w:rsidR="009A0710" w:rsidRDefault="00000000">
            <w:pPr>
              <w:spacing w:after="0"/>
            </w:pPr>
            <w:r>
              <w:t>Servers located in a location, where multiple patients can access</w:t>
            </w:r>
          </w:p>
        </w:tc>
      </w:tr>
    </w:tbl>
    <w:p w14:paraId="202B5401" w14:textId="77777777" w:rsidR="009A0710" w:rsidRDefault="009A0710"/>
    <w:p w14:paraId="39426256" w14:textId="77777777" w:rsidR="009A0710" w:rsidRDefault="00000000">
      <w:pPr>
        <w:pStyle w:val="Heading2"/>
      </w:pPr>
      <w:bookmarkStart w:id="37" w:name="_Toc241485660"/>
      <w:r>
        <w:t>7.3 Key Challenges</w:t>
      </w:r>
      <w:bookmarkEnd w:id="37"/>
      <w:r>
        <w:t xml:space="preserve"> </w:t>
      </w:r>
    </w:p>
    <w:p w14:paraId="42C34B05" w14:textId="77777777" w:rsidR="009A0710" w:rsidRDefault="00000000">
      <w:r>
        <w:t>While digital twins and edge computing offer significant potential to support proactive, personalised, and data-driven health and social care, several challenges remain before these technologies can be deployed reliably at scale. Both approaches depend on the collection, integration, processing, and analysis of large volumes of data from multiple sources, often within complex and highly regulated healthcare environments. Ensuring accuracy, interoperability, scalability, privacy, security, and trustworthiness remains critical to their successful adoption. The following subsections summarise the key challenges associated with digital twins and edge computing in the context of older person care.</w:t>
      </w:r>
    </w:p>
    <w:p w14:paraId="5921C71F" w14:textId="77777777" w:rsidR="009A0710" w:rsidRDefault="00000000">
      <w:pPr>
        <w:pStyle w:val="Heading3"/>
      </w:pPr>
      <w:bookmarkStart w:id="38" w:name="_heading=h.lf3iijem4d4f" w:colFirst="0" w:colLast="0"/>
      <w:bookmarkEnd w:id="38"/>
      <w:r>
        <w:lastRenderedPageBreak/>
        <w:t>7.3.1 Digital Twin Challenges</w:t>
      </w:r>
    </w:p>
    <w:p w14:paraId="7FE0D4F6" w14:textId="77777777" w:rsidR="009A0710" w:rsidRDefault="00000000">
      <w:r>
        <w:t>Although digital twins have significant potential to support personalised and proactive care, several barriers remain to their adoption within healthcare and older-person care. A key challenge is the integration of data from fragmented and heterogeneous sources, including electronic patient records, wearable devices, environmental sensors, and patient-reported information. Differences in data formats, standards, and levels of completeness can make it difficult to create an accurate and continuously updated representation of an individual's health and wellbeing. Additional challenges include ensuring the accuracy, reliability, and clinical validity of digital twin models when used to support decision-making. Trustworthiness, explainability, privacy, cybersecurity, and data governance also remain important considerations, particularly when sensitive personal and health information is aggregated from multiple systems. Furthermore, there remains limited evidence regarding the real-world effectiveness and scalability of digital twin technologies in supporting older-person care.</w:t>
      </w:r>
    </w:p>
    <w:p w14:paraId="6F56E65D" w14:textId="77777777" w:rsidR="009A0710" w:rsidRDefault="00000000">
      <w:pPr>
        <w:pStyle w:val="Heading3"/>
      </w:pPr>
      <w:bookmarkStart w:id="39" w:name="_heading=h.1felhlsm0589" w:colFirst="0" w:colLast="0"/>
      <w:bookmarkEnd w:id="39"/>
      <w:r>
        <w:t>7.3.2 Edge Computing challenges</w:t>
      </w:r>
    </w:p>
    <w:p w14:paraId="73D06782" w14:textId="77777777" w:rsidR="009A0710" w:rsidRDefault="00000000">
      <w:r>
        <w:t>Despite the advantages of localised processing and reduced dependence on cloud infrastructure, several challenges remain for the deployment of edge computing solutions in healthcare. These include ensuring data privacy and security during the storage, processing, and transfer of sensitive health information, particularly across multiple devices and networks. Scalability and interoperability also remain important concerns, as edge computing environments often involve a diverse range of sensors, wearables, gateway devices, communication protocols, and information systems. In addition, AI and machine learning models must be optimised for deployment on resource-constrained devices while maintaining acceptable levels of accuracy, reliability, and energy efficiency. Other challenges include supporting reliable operation in environments with intermittent connectivity, managing heterogeneous data streams, and ensuring that edge-based decision-support capabilities remain transparent, explainable, and trustworthy for end users and healthcare professionals</w:t>
      </w:r>
    </w:p>
    <w:p w14:paraId="1D1FCB75" w14:textId="77777777" w:rsidR="009A0710" w:rsidRDefault="00000000">
      <w:pPr>
        <w:pStyle w:val="Heading1"/>
        <w:ind w:left="0"/>
      </w:pPr>
      <w:bookmarkStart w:id="40" w:name="_Toc241485661"/>
      <w:r>
        <w:t>8. Human Centred AI and Explainable AI</w:t>
      </w:r>
      <w:bookmarkEnd w:id="40"/>
    </w:p>
    <w:p w14:paraId="67CD0A43" w14:textId="77777777" w:rsidR="009A0710" w:rsidRDefault="00000000">
      <w:pPr>
        <w:pStyle w:val="Heading2"/>
        <w:ind w:left="0" w:firstLine="0"/>
      </w:pPr>
      <w:bookmarkStart w:id="41" w:name="_Toc241485662"/>
      <w:r>
        <w:t>8.1 Introduction</w:t>
      </w:r>
      <w:bookmarkEnd w:id="41"/>
    </w:p>
    <w:p w14:paraId="400FA679" w14:textId="77777777" w:rsidR="009A0710" w:rsidRDefault="00000000">
      <w:r>
        <w:t xml:space="preserve">The amount of data healthcare systems rely on has been growing exponentially, and increasingly these systems use AI-powered tools to support analysis of large volumes of clinical information. The interest in AI tools stems from their ability to process complex datasets and identify patterns that may not be immediately visible, offering new opportunities in monitoring, early detection, and supporting decision-making. Despite these capabilities, the use of AI systems in healthcare settings introduces significant challenges and risks. Many AI models operate as opaque systems, whose internal reasoning is difficult to interpret and seldom accompanied by explanations. In healthcare settings, where professionals must justify decisions which may affect patient </w:t>
      </w:r>
      <w:r>
        <w:lastRenderedPageBreak/>
        <w:t>wellbeing, the inclusion of admittance of predictive models raises important concerns around accountability, reliability and safe integration into care practices.</w:t>
      </w:r>
    </w:p>
    <w:p w14:paraId="33724CA5" w14:textId="77777777" w:rsidR="009A0710" w:rsidRDefault="00000000">
      <w:r>
        <w:t xml:space="preserve">Explainability of AI models have become a focus of research, as it is seen as a means of making AI predictions understandable and useful. Explainable AI aims to make the reasoning behind predictions visible, thereby allowing users to assess prediction validity. Many existing methods reveal technical details of model behaviour. In healthcare settings, users will likely not have the technical expertise required to interpret these explanations. These explanations must transition from model behaviour to real-world use-cases, supporting the reasoning and decision making of healthcare professionals.  Human-Centred Explainable AI (HCXAI) and interactivity have been proposed as approaches to enable meaningful use of AI systems in practical settings. </w:t>
      </w:r>
      <w:r>
        <w:rPr>
          <w:highlight w:val="white"/>
        </w:rPr>
        <w:t xml:space="preserve">The following sections review key research directions and discuss the main challenges related to </w:t>
      </w:r>
      <w:r>
        <w:t>Human-Centred Explainable AI for Healthcare Care Decision Support</w:t>
      </w:r>
      <w:r>
        <w:rPr>
          <w:highlight w:val="white"/>
        </w:rPr>
        <w:t>.</w:t>
      </w:r>
    </w:p>
    <w:p w14:paraId="42F323DE" w14:textId="77777777" w:rsidR="009A0710" w:rsidRDefault="00000000">
      <w:pPr>
        <w:pStyle w:val="Heading2"/>
        <w:ind w:left="0" w:firstLine="0"/>
      </w:pPr>
      <w:bookmarkStart w:id="42" w:name="_Toc241485663"/>
      <w:r>
        <w:t>8.2 Research clusters</w:t>
      </w:r>
      <w:bookmarkEnd w:id="42"/>
    </w:p>
    <w:p w14:paraId="04B3D1E5" w14:textId="77777777" w:rsidR="009A0710" w:rsidRDefault="00000000">
      <w:pPr>
        <w:pStyle w:val="Heading3"/>
        <w:ind w:left="0" w:firstLine="0"/>
      </w:pPr>
      <w:bookmarkStart w:id="43" w:name="_heading=h.1j1lgbpt0zi2" w:colFirst="0" w:colLast="0"/>
      <w:bookmarkEnd w:id="43"/>
      <w:r>
        <w:t>8.2.1 Explainable AI in Healthcare</w:t>
      </w:r>
    </w:p>
    <w:p w14:paraId="0187F44B" w14:textId="77777777" w:rsidR="009A0710" w:rsidRDefault="00000000">
      <w:r>
        <w:t>Artificial intelligence has the potential to significantly enhance healthcare decision support by its ability to analyse large amounts of complex data. AI models can identify patterns in health records that may be difficult for healthcare professionals to detect and may reveal emerging issues or changes in the patient’s condition. Despite their potential, these models operate as “black box” systems, where it is not clear how the model arrived at these predictions. In high stakes environments, like healthcare, this lack of transparency and interpretability can have unforeseen consequences. The unclear line on accountability, and the nature of these models creates uncertainty for healthcare professionals who must decide whether to trust and act on AI-generated recommendations.</w:t>
      </w:r>
    </w:p>
    <w:p w14:paraId="57B39A44" w14:textId="77777777" w:rsidR="009A0710" w:rsidRDefault="00000000">
      <w:r>
        <w:t xml:space="preserve">The field of Explainable Artificial Intelligence (XAI) has emerged to close the gap between prediction and reasoning. XAI methods attempt to extract the reasoning from the black box models by, for example, revealing what pieces of information contributed to a prediction. The explanation techniques aim to improve the interpretability of AI models, allowing users to inspect, validate and use the interpretation produced. A wide range of explanation techniques have been developed, but most are intended for technical users. Explanations tend to focus on model behaviour, rather than on the needs of the </w:t>
      </w:r>
      <w:proofErr w:type="gramStart"/>
      <w:r>
        <w:t>lay-people</w:t>
      </w:r>
      <w:proofErr w:type="gramEnd"/>
      <w:r>
        <w:t xml:space="preserve"> using the models. Ultimately, XAI seeks to close the gap between model predictions and the reasoning of these, making AI predictions more understandable and trustworthy, necessary precursors to responsible use.</w:t>
      </w:r>
    </w:p>
    <w:p w14:paraId="20320550" w14:textId="77777777" w:rsidR="009A0710" w:rsidRDefault="00000000">
      <w:pPr>
        <w:pStyle w:val="Heading3"/>
        <w:ind w:left="0" w:firstLine="0"/>
      </w:pPr>
      <w:bookmarkStart w:id="44" w:name="_heading=h.5fojf0dwos6w" w:colFirst="0" w:colLast="0"/>
      <w:bookmarkEnd w:id="44"/>
      <w:r>
        <w:t>8.2.2 Human-Centred Explainable AI</w:t>
      </w:r>
    </w:p>
    <w:p w14:paraId="3A028E80" w14:textId="77777777" w:rsidR="009A0710" w:rsidRDefault="00000000">
      <w:r>
        <w:t xml:space="preserve">Human-Centred Explainable AI recognises the gap between technical transparency and real-world needs and builds on traditional explainability research by shifting the focus towards the needs of people interacting with AI systems. Many XAI techniques expose internal model </w:t>
      </w:r>
      <w:r>
        <w:lastRenderedPageBreak/>
        <w:t>workings, the “what” of the model, which often requires a level of technical understanding, which most users do not possess. HCXAI considers how explanations are perceived, interpreted and used by the individuals relying on the AI system, ensuring that explanations are accessible and meaningful, thereby transitioning explanations to the “so what” of the model. The shift in perspective recognises that effective use of AI must be accompanied by effective explanations that support the user’s goals.</w:t>
      </w:r>
    </w:p>
    <w:p w14:paraId="0F21A66F" w14:textId="77777777" w:rsidR="009A0710" w:rsidRDefault="00000000">
      <w:r>
        <w:t>In healthcare settings, HCXAI highlights that integrating such systems into current workflows must align with the reasoning processes of healthcare professionals. Explanations should allow healthcare professionals to understand why a prediction was made, how it relates to facts, and whether it should influence care decisions. This perspective argues that effective explanations not only improve transparency, but support acceptability, trust and usability of AI systems within healthcare. By considering the healthcare professionals’ context, knowledge and experience, AI systems, boosted by HCXAI principles can produce explanations that better fit healthcare setting realities.</w:t>
      </w:r>
    </w:p>
    <w:p w14:paraId="18FAB350" w14:textId="77777777" w:rsidR="009A0710" w:rsidRDefault="00000000">
      <w:pPr>
        <w:pStyle w:val="Heading3"/>
        <w:ind w:left="0" w:firstLine="0"/>
      </w:pPr>
      <w:bookmarkStart w:id="45" w:name="_heading=h.69l51nax47ff" w:colFirst="0" w:colLast="0"/>
      <w:bookmarkEnd w:id="45"/>
      <w:r>
        <w:t>8.2.3 Interactive Explainability</w:t>
      </w:r>
    </w:p>
    <w:p w14:paraId="64BDC65F" w14:textId="77777777" w:rsidR="009A0710" w:rsidRDefault="00000000">
      <w:r>
        <w:t>Traditional explanation methods present explanations as fixed outputs that accompany a prediction, offering a snapshot of the system’s reasoning. While useful, a single view may not provide the level of detail users want to fully understand the prediction. Including fine-grained details on a single screen can also have detrimental effects due to cognitive overload. Interactive explanations aim to frame the explanation as a conversation, a give and take. An interactive system allows the user to get additional information, request clarifications and examine results at will, allowing users to explore the model’s reasoning to their preferred level of detail. Interactive approaches treat explanations as dynamic processes, where users can navigate instead of having fixed descriptions of model behaviour.</w:t>
      </w:r>
    </w:p>
    <w:p w14:paraId="5F702132" w14:textId="77777777" w:rsidR="009A0710" w:rsidRDefault="00000000">
      <w:r>
        <w:t xml:space="preserve">Interactive systems allow users to engage with layers of information, enabling greater depth of targeted explanations. Rather than passively receiving information, users actively investigate the model’s reasoning focusing on the most relevant aspects to their task. The active review process helps users build a deeper understanding of system behaviour and whether predictions follow from facts. For such interactions to be effective, the explanations provided must be aligned with the user’s needs. By virtue of active engagement and exploration, systems adopting interactive explanations can support meaningful engagement and interpretation of AI predictions. </w:t>
      </w:r>
    </w:p>
    <w:p w14:paraId="6BB67093" w14:textId="77777777" w:rsidR="009A0710" w:rsidRDefault="00000000">
      <w:pPr>
        <w:pStyle w:val="Heading2"/>
        <w:ind w:left="0" w:firstLine="0"/>
      </w:pPr>
      <w:bookmarkStart w:id="46" w:name="_Toc241485664"/>
      <w:r>
        <w:t>8.3 Key Challenges</w:t>
      </w:r>
      <w:bookmarkEnd w:id="46"/>
    </w:p>
    <w:p w14:paraId="5109A971" w14:textId="77777777" w:rsidR="009A0710" w:rsidRDefault="00000000">
      <w:pPr>
        <w:pStyle w:val="Heading3"/>
        <w:ind w:left="0" w:firstLine="0"/>
      </w:pPr>
      <w:bookmarkStart w:id="47" w:name="_heading=h.t0ol4opypr90" w:colFirst="0" w:colLast="0"/>
      <w:bookmarkEnd w:id="47"/>
      <w:r>
        <w:t>8.3.1 Aligning Explanations with Domain Reasoning</w:t>
      </w:r>
    </w:p>
    <w:p w14:paraId="7AB63F92" w14:textId="77777777" w:rsidR="009A0710" w:rsidRDefault="00000000">
      <w:r>
        <w:t xml:space="preserve">Many developed XAI methods aim to explain the functioning of the model by exposing the architecture, but healthcare professionals need explanations that align with their reasoning. Additionally, these methods generally assume a level of technical expertise, which won’t </w:t>
      </w:r>
      <w:r>
        <w:lastRenderedPageBreak/>
        <w:t>necessarily be shared in the healthcare domain. The popularised SHAP algorithm reveals how individual features contributed to a prediction, which is immensely useful, but does not correspond to how healthcare professionals interpret outcomes (patient evidence + care context). In practice, a healthcare professional must determine whether a prediction corresponds to the facts, not which values are the most influential. The main challenges are in connecting the predictions to meaningful evidence and existing medical knowledge, and presenting these reasoning chains in ways healthcare professionals can validate.</w:t>
      </w:r>
    </w:p>
    <w:p w14:paraId="3CB1B6FB" w14:textId="77777777" w:rsidR="009A0710" w:rsidRDefault="00000000">
      <w:pPr>
        <w:pStyle w:val="Heading3"/>
        <w:ind w:left="0" w:firstLine="0"/>
      </w:pPr>
      <w:bookmarkStart w:id="48" w:name="_heading=h.xfp3f9fz5853" w:colFirst="0" w:colLast="0"/>
      <w:bookmarkEnd w:id="48"/>
      <w:r>
        <w:t>8.3.2 Balancing Detail</w:t>
      </w:r>
    </w:p>
    <w:p w14:paraId="08C5873D" w14:textId="77777777" w:rsidR="009A0710" w:rsidRDefault="00000000">
      <w:r>
        <w:t>Healthcare professionals work under time pressure and complex workflows. The explanations that boost the utility of AI systems must integrate into these workflows and cannot interrupt their main goal. The importance of rapid interpretation of supporting explanations is pivotal. Excessive superfluous information can lead to cognitive overload leading to impaired performance, increased errors, and mental fatigue. Limited explanations hinder the user’s ability to verify, trust and act on the prediction. Explanations must therefore balance clarity and depth, presenting enough detail to justify predictions while being concise enough to support rapid interpretation. Striking the, as short as possible, as long as necessary, balance is critical and a key challenge to ensure explanations are usable within real healthcare settings.</w:t>
      </w:r>
    </w:p>
    <w:p w14:paraId="1CE1F0A6" w14:textId="77777777" w:rsidR="009A0710" w:rsidRDefault="00000000">
      <w:pPr>
        <w:pStyle w:val="Heading3"/>
        <w:ind w:left="0" w:firstLine="0"/>
      </w:pPr>
      <w:bookmarkStart w:id="49" w:name="_heading=h.kt0pfurwcu2q" w:colFirst="0" w:colLast="0"/>
      <w:bookmarkEnd w:id="49"/>
      <w:r>
        <w:t>8.3.3. Trust Calibration</w:t>
      </w:r>
    </w:p>
    <w:p w14:paraId="22D9E0B4" w14:textId="77777777" w:rsidR="009A0710" w:rsidRDefault="00000000">
      <w:r>
        <w:t>Explainability is commonly linked to trust. In healthcare settings it is imperative, as users must rely on the system’s outputs when making decisions that may affect people’s wellbeing. An issue encountered is over-trust and overreliance, where confidence is placed blindly on AI systems. In the complex setting of healthcare predictions may be uncertain or wrong, explanations should convey the uncertainty associated with the predictions and make clear that AI outputs are probabilistic, not definite conclusions. The limitations of the model should be visible to help the healthcare professional recognise situations where additional verification is required. Explanations should support critical evaluation and encourage informed judgement, not blind acceptance. Designing explanations that clearly communicate uncertainty, limitations and support informed judgement remains a key challenge for AI systems in healthcare.</w:t>
      </w:r>
    </w:p>
    <w:p w14:paraId="1B8E2F69" w14:textId="77777777" w:rsidR="009A0710" w:rsidRDefault="00000000">
      <w:pPr>
        <w:pStyle w:val="Heading1"/>
        <w:ind w:left="0"/>
      </w:pPr>
      <w:bookmarkStart w:id="50" w:name="_Toc241485665"/>
      <w:r>
        <w:t>9. Conclusions</w:t>
      </w:r>
      <w:bookmarkEnd w:id="50"/>
      <w:r>
        <w:t xml:space="preserve"> </w:t>
      </w:r>
    </w:p>
    <w:p w14:paraId="38BD96B4" w14:textId="77777777" w:rsidR="009A0710" w:rsidRDefault="00000000">
      <w:r>
        <w:t xml:space="preserve">This </w:t>
      </w:r>
      <w:proofErr w:type="gramStart"/>
      <w:r>
        <w:t>state of the art</w:t>
      </w:r>
      <w:proofErr w:type="gramEnd"/>
      <w:r>
        <w:t xml:space="preserve"> review shows that the field of older person care is undergoing rapid transformation driven by advances in remote monitoring, wearable technologies, Internet of Things (IoT) sensors, artificial intelligence, digital health platforms, and human-centred decision support systems. Continuous monitoring solutions based on wearables, and environmental sensors, are becoming increasingly capable of supporting independent living, early risk detection, and proactive care interventions. At the same time, developments in large language models, explainable AI, digital twins, and edge computing are offering new opportunities to improve personalisation, scalability, and responsiveness of care services.</w:t>
      </w:r>
    </w:p>
    <w:p w14:paraId="5C4B3CC6" w14:textId="77777777" w:rsidR="009A0710" w:rsidRDefault="00000000">
      <w:r>
        <w:lastRenderedPageBreak/>
        <w:t>Despite this progress, several challenges continue to limit large-scale adoption and impact. These include clinical validation of AI-enabled solutions, digital inclusion, user acceptance among older adults, and the need for transparent and trustworthy decision support. The review also identified a number of important gaps in the current state of the art, including limited real-world evidence for explainable AI in healthcare and geriatric decision support, restricted monitoring capabilities across existing remote sensing platforms, challenges in collecting clinically meaningful information through conversational and self-assessment approaches, fragmented and heterogeneous data sources that hinder integration and digital twin development, and ongoing interoperability, scalability, privacy, and security concerns. These gaps highlight the continuing need for solutions that can operate reliably across diverse care settings while remaining accessible, trustworthy, and aligned with the needs of end users.</w:t>
      </w:r>
    </w:p>
    <w:p w14:paraId="4D675969" w14:textId="77777777" w:rsidR="009A0710" w:rsidRDefault="00000000">
      <w:r>
        <w:t xml:space="preserve">The review further highlights the importance of designing technologies that are not only technically effective but also aligned with the needs, preferences, and capabilities of older people, informal carers, healthcare professionals, and service providers. </w:t>
      </w:r>
      <w:proofErr w:type="gramStart"/>
      <w:r>
        <w:t>Particular challenges</w:t>
      </w:r>
      <w:proofErr w:type="gramEnd"/>
      <w:r>
        <w:t xml:space="preserve"> remain in achieving seamless integration across heterogeneous data sources, ensuring long-term engagement and usability, supporting evidence-based clinical decision making, and providing meaningful explanations that enable users to understand and trust AI-generated insights. Additional limitations identified within the reviewed literature include a lack of large-scale longitudinal validation studies, limited evidence from routine clinical and community care environments, uncertainty regarding the reliability and clinical utility of AI-generated explanations, and the absence of widely adopted standards for integrating data generated by multiple devices, platforms, and care systems. </w:t>
      </w:r>
    </w:p>
    <w:p w14:paraId="10DDF70D" w14:textId="77777777" w:rsidR="009A0710" w:rsidRDefault="00000000">
      <w:r>
        <w:t>Overall, the evidence indicates a clear shift towards integrated, preventive, and person-centred models of care that combine continuous sensing, intelligent analytics, and human oversight. While no single technology currently addresses the full spectrum of challenges associated with healthy and independent ageing, the convergence of these technologies provides significant potential to improve quality of life, support ageing in place, reduce pressure on health and social care systems, and enable more proactive and personalised care pathways.</w:t>
      </w:r>
    </w:p>
    <w:p w14:paraId="2E5B6266" w14:textId="77777777" w:rsidR="009A0710" w:rsidRDefault="00000000">
      <w:r>
        <w:t>A common theme emerging across the technologies reviewed is that the primary objective is not the deployment of technology for its own sake, but its effective use in supporting better outcomes for older persons. Technologies such as remote monitoring, wearable sensors, digital twins, conversational interfaces, and AI-enabled decision support are enablers that can assist healthcare professionals, social care providers, informal carers, and older persons themselves in making more informed and timely decisions. Their value ultimately depends on their ability to collect the right information, from the right sources, and deliver meaningful insights to the right stakeholders at the right time.</w:t>
      </w:r>
    </w:p>
    <w:p w14:paraId="02DAB122" w14:textId="77777777" w:rsidR="009A0710" w:rsidRDefault="00000000">
      <w:r>
        <w:t xml:space="preserve">The findings presented in this review provide a baseline for understanding current capabilities, limitations, and future directions within the rapidly evolving landscape of technology-enabled older person care, while also highlighting areas where further research, validation, integration, </w:t>
      </w:r>
      <w:r>
        <w:lastRenderedPageBreak/>
        <w:t>and innovation are needed to address the identified gaps and support the delivery of effective, coordinated, and person-centred care.</w:t>
      </w:r>
    </w:p>
    <w:p w14:paraId="1ACA232C" w14:textId="77777777" w:rsidR="009A0710" w:rsidRDefault="00000000">
      <w:pPr>
        <w:pStyle w:val="Heading1"/>
        <w:ind w:left="0"/>
      </w:pPr>
      <w:bookmarkStart w:id="51" w:name="_Toc241485666"/>
      <w:r>
        <w:t>10. References</w:t>
      </w:r>
      <w:bookmarkEnd w:id="51"/>
      <w:r>
        <w:t xml:space="preserve"> </w:t>
      </w:r>
    </w:p>
    <w:p w14:paraId="57B3FCD7" w14:textId="77777777" w:rsidR="009A0710" w:rsidRDefault="00000000">
      <w:r>
        <w:t>Abbas, Q.; Jeong, W.; and Lee, S. W. 2025. Explainable AI in clinical decision support systems: a meta-analysis of methods, applications, and usability challenges. In Healthcare, volume 13, 2154. MDPI.</w:t>
      </w:r>
    </w:p>
    <w:p w14:paraId="2EF7BB3E" w14:textId="77777777" w:rsidR="009A0710" w:rsidRDefault="00000000">
      <w:r>
        <w:t xml:space="preserve">Abdul, A.; Vermeulen, J.; Wang, D.; Lim, B. Y.; and </w:t>
      </w:r>
      <w:proofErr w:type="spellStart"/>
      <w:r>
        <w:t>Kankanhalli</w:t>
      </w:r>
      <w:proofErr w:type="spellEnd"/>
      <w:r>
        <w:t xml:space="preserve">, M. 2018. Trends and trajectories for explainable, accountable and intelligible systems: An </w:t>
      </w:r>
      <w:proofErr w:type="spellStart"/>
      <w:r>
        <w:t>hci</w:t>
      </w:r>
      <w:proofErr w:type="spellEnd"/>
      <w:r>
        <w:t xml:space="preserve"> research agenda. In Proceedings of the 2018 CHI conference on human factors in computing systems, 1–18.</w:t>
      </w:r>
    </w:p>
    <w:p w14:paraId="70D70C04" w14:textId="77777777" w:rsidR="009A0710" w:rsidRDefault="00000000">
      <w:r>
        <w:t xml:space="preserve">An, J.; Yi, S.; Lyu, Y.; Liu, H.; and Zhang, Y. 2025. Conversational Agents for Older Adults’ Health: A Systematic Literature Review. </w:t>
      </w:r>
      <w:proofErr w:type="spellStart"/>
      <w:r>
        <w:t>arXiv</w:t>
      </w:r>
      <w:proofErr w:type="spellEnd"/>
      <w:r>
        <w:t xml:space="preserve"> preprint arXiv:2503.23153. </w:t>
      </w:r>
    </w:p>
    <w:p w14:paraId="04F4F523" w14:textId="77777777" w:rsidR="009A0710" w:rsidRDefault="00000000">
      <w:r>
        <w:t xml:space="preserve">Arya, V.; Bellamy, R. K.; Chen, P.-Y.; </w:t>
      </w:r>
      <w:proofErr w:type="spellStart"/>
      <w:r>
        <w:t>Dhurandhar</w:t>
      </w:r>
      <w:proofErr w:type="spellEnd"/>
      <w:r>
        <w:t xml:space="preserve">, A.; Hind, M.; Hoffman, S. C.; </w:t>
      </w:r>
      <w:proofErr w:type="spellStart"/>
      <w:r>
        <w:t>Houde</w:t>
      </w:r>
      <w:proofErr w:type="spellEnd"/>
      <w:r>
        <w:t xml:space="preserve">, S.; Liao, Q. V.; </w:t>
      </w:r>
      <w:proofErr w:type="spellStart"/>
      <w:r>
        <w:t>Luss</w:t>
      </w:r>
      <w:proofErr w:type="spellEnd"/>
      <w:r>
        <w:t xml:space="preserve">, R.; </w:t>
      </w:r>
      <w:proofErr w:type="spellStart"/>
      <w:r>
        <w:t>Mojsilovíc</w:t>
      </w:r>
      <w:proofErr w:type="spellEnd"/>
      <w:r>
        <w:t xml:space="preserve">, A.; et al. 2019. One explanation does not fit all: A toolkit and taxonomy of ai explainability techniques. </w:t>
      </w:r>
      <w:proofErr w:type="spellStart"/>
      <w:r>
        <w:t>arXiv</w:t>
      </w:r>
      <w:proofErr w:type="spellEnd"/>
      <w:r>
        <w:t xml:space="preserve"> preprint arXiv:1909.03012.</w:t>
      </w:r>
    </w:p>
    <w:p w14:paraId="446CE09C" w14:textId="77777777" w:rsidR="009A0710" w:rsidRDefault="00000000">
      <w:r>
        <w:t>Bansal, G. 2018. Explanatory dialogs: Towards actionable, interactive explanations. In Proceedings of the 2018 AAAI/ACM Conference on AI, Ethics, and Society, 356–357.</w:t>
      </w:r>
    </w:p>
    <w:p w14:paraId="1FF1908C" w14:textId="77777777" w:rsidR="009A0710" w:rsidRDefault="00000000">
      <w:proofErr w:type="spellStart"/>
      <w:r>
        <w:t>Bergomi</w:t>
      </w:r>
      <w:proofErr w:type="spellEnd"/>
      <w:r>
        <w:t xml:space="preserve">, L.; </w:t>
      </w:r>
      <w:proofErr w:type="spellStart"/>
      <w:r>
        <w:t>Nicora</w:t>
      </w:r>
      <w:proofErr w:type="spellEnd"/>
      <w:r>
        <w:t xml:space="preserve">, G.; </w:t>
      </w:r>
      <w:proofErr w:type="spellStart"/>
      <w:r>
        <w:t>Orlowska</w:t>
      </w:r>
      <w:proofErr w:type="spellEnd"/>
      <w:r>
        <w:t xml:space="preserve">, M. A.; </w:t>
      </w:r>
      <w:proofErr w:type="spellStart"/>
      <w:r>
        <w:t>Podrecca</w:t>
      </w:r>
      <w:proofErr w:type="spellEnd"/>
      <w:r>
        <w:t xml:space="preserve">, C.; </w:t>
      </w:r>
      <w:proofErr w:type="spellStart"/>
      <w:r>
        <w:t>Bellazzi</w:t>
      </w:r>
      <w:proofErr w:type="spellEnd"/>
      <w:r>
        <w:t xml:space="preserve">, R.; </w:t>
      </w:r>
      <w:proofErr w:type="spellStart"/>
      <w:r>
        <w:t>Fregosi</w:t>
      </w:r>
      <w:proofErr w:type="spellEnd"/>
      <w:r>
        <w:t xml:space="preserve">, C.; </w:t>
      </w:r>
      <w:proofErr w:type="spellStart"/>
      <w:r>
        <w:t>Salinaro</w:t>
      </w:r>
      <w:proofErr w:type="spellEnd"/>
      <w:r>
        <w:t xml:space="preserve">, F.; </w:t>
      </w:r>
      <w:proofErr w:type="spellStart"/>
      <w:r>
        <w:t>Bonzano</w:t>
      </w:r>
      <w:proofErr w:type="spellEnd"/>
      <w:r>
        <w:t>, M.; Crescenzi, G.; Speciale, F.; et al. 2025. Which explanations do clinicians prefer? A comparative evaluation of XAI understandability and actionability in predicting the need for hospitalization. BMC medical informatics and decision making, 25(1): 269.</w:t>
      </w:r>
    </w:p>
    <w:p w14:paraId="11431677" w14:textId="77777777" w:rsidR="009A0710" w:rsidRDefault="00000000">
      <w:r>
        <w:t xml:space="preserve">Bevans, M.; Ross, A.; and </w:t>
      </w:r>
      <w:proofErr w:type="spellStart"/>
      <w:r>
        <w:t>Cella</w:t>
      </w:r>
      <w:proofErr w:type="spellEnd"/>
      <w:r>
        <w:t>, D. 2014. Patient-Reported Outcomes Measurement Information System (PROMIS): efficient, standardized tools to measure self-reported health and quality of life. Nursing outlook, 62(5): 339–345.</w:t>
      </w:r>
    </w:p>
    <w:p w14:paraId="55C19145" w14:textId="77777777" w:rsidR="009A0710" w:rsidRDefault="00000000">
      <w:r>
        <w:t xml:space="preserve">Bhattacharya, A.; </w:t>
      </w:r>
      <w:proofErr w:type="spellStart"/>
      <w:r>
        <w:t>Ooge</w:t>
      </w:r>
      <w:proofErr w:type="spellEnd"/>
      <w:r>
        <w:t xml:space="preserve">, J.; </w:t>
      </w:r>
      <w:proofErr w:type="spellStart"/>
      <w:r>
        <w:t>Stiglic</w:t>
      </w:r>
      <w:proofErr w:type="spellEnd"/>
      <w:r>
        <w:t xml:space="preserve">, G.; and </w:t>
      </w:r>
      <w:proofErr w:type="spellStart"/>
      <w:r>
        <w:t>Verbert</w:t>
      </w:r>
      <w:proofErr w:type="spellEnd"/>
      <w:r>
        <w:t>, K. 2023. Directive explanations for monitoring the risk of diabetes onset: introducing directive data-centric explanations and combinations to support what-if explorations. In Proceedings of the 28th international conference on intelligent user interfaces, 204–219.</w:t>
      </w:r>
    </w:p>
    <w:p w14:paraId="7DEEED30" w14:textId="77777777" w:rsidR="009A0710" w:rsidRDefault="00000000">
      <w:r>
        <w:t xml:space="preserve">Bhattacharya, A.; Stumpf, S.; </w:t>
      </w:r>
      <w:proofErr w:type="spellStart"/>
      <w:r>
        <w:t>Gosak</w:t>
      </w:r>
      <w:proofErr w:type="spellEnd"/>
      <w:r>
        <w:t xml:space="preserve">, L.; </w:t>
      </w:r>
      <w:proofErr w:type="spellStart"/>
      <w:r>
        <w:t>Stiglic</w:t>
      </w:r>
      <w:proofErr w:type="spellEnd"/>
      <w:r>
        <w:t xml:space="preserve">, G.; and </w:t>
      </w:r>
      <w:proofErr w:type="spellStart"/>
      <w:r>
        <w:t>Verbert</w:t>
      </w:r>
      <w:proofErr w:type="spellEnd"/>
      <w:r>
        <w:t xml:space="preserve">, K. 2024. </w:t>
      </w:r>
      <w:proofErr w:type="spellStart"/>
      <w:r>
        <w:t>Exmos</w:t>
      </w:r>
      <w:proofErr w:type="spellEnd"/>
      <w:r>
        <w:t>: Explanatory model steering through multifaceted explanations and data configurations. In Proceedings of the 2024 CHI Conference on Human Factors in Computing Systems, 1–27.</w:t>
      </w:r>
    </w:p>
    <w:p w14:paraId="520E4492" w14:textId="77777777" w:rsidR="009A0710" w:rsidRDefault="00000000">
      <w:proofErr w:type="spellStart"/>
      <w:r>
        <w:t>Braines</w:t>
      </w:r>
      <w:proofErr w:type="spellEnd"/>
      <w:r>
        <w:t xml:space="preserve">, D.; </w:t>
      </w:r>
      <w:proofErr w:type="spellStart"/>
      <w:r>
        <w:t>Tomsett</w:t>
      </w:r>
      <w:proofErr w:type="spellEnd"/>
      <w:r>
        <w:t xml:space="preserve">, R.; and </w:t>
      </w:r>
      <w:proofErr w:type="spellStart"/>
      <w:r>
        <w:t>Preece</w:t>
      </w:r>
      <w:proofErr w:type="spellEnd"/>
      <w:r>
        <w:t xml:space="preserve">, A. 2019. Supporting user fusion of AI services through conversational explanations. In 2019 </w:t>
      </w:r>
      <w:proofErr w:type="gramStart"/>
      <w:r>
        <w:t>22th</w:t>
      </w:r>
      <w:proofErr w:type="gramEnd"/>
      <w:r>
        <w:t xml:space="preserve"> International Conference on Information Fusion (FUSION), 1–8. IEEE.</w:t>
      </w:r>
    </w:p>
    <w:p w14:paraId="086971E1" w14:textId="77777777" w:rsidR="009A0710" w:rsidRDefault="00000000">
      <w:proofErr w:type="spellStart"/>
      <w:r>
        <w:lastRenderedPageBreak/>
        <w:t>Brinkschulte</w:t>
      </w:r>
      <w:proofErr w:type="spellEnd"/>
      <w:r>
        <w:t xml:space="preserve">, L.; </w:t>
      </w:r>
      <w:proofErr w:type="spellStart"/>
      <w:r>
        <w:t>Mariacher</w:t>
      </w:r>
      <w:proofErr w:type="spellEnd"/>
      <w:r>
        <w:t xml:space="preserve">, N.; </w:t>
      </w:r>
      <w:proofErr w:type="spellStart"/>
      <w:r>
        <w:t>Schl¨ogl</w:t>
      </w:r>
      <w:proofErr w:type="spellEnd"/>
      <w:r>
        <w:t xml:space="preserve">, S.; Torres, M. I.; Justo, R.; </w:t>
      </w:r>
      <w:proofErr w:type="spellStart"/>
      <w:r>
        <w:t>Olaso</w:t>
      </w:r>
      <w:proofErr w:type="spellEnd"/>
      <w:r>
        <w:t xml:space="preserve">, J. M.; Esposito, A.; </w:t>
      </w:r>
      <w:proofErr w:type="spellStart"/>
      <w:r>
        <w:t>Cordasco</w:t>
      </w:r>
      <w:proofErr w:type="spellEnd"/>
      <w:r>
        <w:t xml:space="preserve">, G.; Chollet, G.; </w:t>
      </w:r>
      <w:proofErr w:type="spellStart"/>
      <w:r>
        <w:t>Glackin</w:t>
      </w:r>
      <w:proofErr w:type="spellEnd"/>
      <w:r>
        <w:t xml:space="preserve">, C.; et al. 2021. The EMPATHIC project: building an expressive, advanced virtual coach to improve independent healthy-life-years of the elderly. </w:t>
      </w:r>
      <w:proofErr w:type="spellStart"/>
      <w:r>
        <w:t>arXiv</w:t>
      </w:r>
      <w:proofErr w:type="spellEnd"/>
      <w:r>
        <w:t xml:space="preserve"> preprint arXiv:2104.13836.</w:t>
      </w:r>
    </w:p>
    <w:p w14:paraId="50427A3D" w14:textId="77777777" w:rsidR="009A0710" w:rsidRDefault="00000000">
      <w:proofErr w:type="spellStart"/>
      <w:r>
        <w:t>Canas</w:t>
      </w:r>
      <w:proofErr w:type="spellEnd"/>
      <w:r>
        <w:t xml:space="preserve">, J. S.; Gomez, F.; and Costilla-Reyes, O. 2023. Counterfactual explanations and predictive models to enhance clinical decision-making in schizophrenia using digital phenotyping. </w:t>
      </w:r>
      <w:proofErr w:type="spellStart"/>
      <w:r>
        <w:t>arXiv</w:t>
      </w:r>
      <w:proofErr w:type="spellEnd"/>
      <w:r>
        <w:t xml:space="preserve"> preprint arXiv:2306.03980.</w:t>
      </w:r>
    </w:p>
    <w:p w14:paraId="2158442A" w14:textId="77777777" w:rsidR="009A0710" w:rsidRDefault="00000000">
      <w:r>
        <w:t xml:space="preserve">Cho, M.; Lee, G.; and Hwang, S.-w. 2019. Explanatory and actionable debugging for machine learning: A </w:t>
      </w:r>
      <w:proofErr w:type="spellStart"/>
      <w:r>
        <w:t>tableqa</w:t>
      </w:r>
      <w:proofErr w:type="spellEnd"/>
      <w:r>
        <w:t xml:space="preserve"> demonstration. In Proceedings of the 42nd International ACM SIGIR Conference on Research and Development in Information Retrieval, 1333–1336.</w:t>
      </w:r>
    </w:p>
    <w:p w14:paraId="523BB61B" w14:textId="77777777" w:rsidR="009A0710" w:rsidRDefault="00000000">
      <w:r>
        <w:t xml:space="preserve">Chu, C. H.; </w:t>
      </w:r>
      <w:proofErr w:type="spellStart"/>
      <w:r>
        <w:t>Nyrup</w:t>
      </w:r>
      <w:proofErr w:type="spellEnd"/>
      <w:r>
        <w:t xml:space="preserve">, R.; Leslie, K.; Shi, J.; Bianchi, A.; Lyn, A.; </w:t>
      </w:r>
      <w:proofErr w:type="spellStart"/>
      <w:r>
        <w:t>McNicholl</w:t>
      </w:r>
      <w:proofErr w:type="spellEnd"/>
      <w:r>
        <w:t xml:space="preserve">, M.; Khan, S.; Rahimi, S.; and Grenier, A. 2022. Digital ageism: challenges and opportunities in artificial intelligence for older adults. The Gerontologist, 62(7): 947–955. </w:t>
      </w:r>
    </w:p>
    <w:p w14:paraId="57C60226" w14:textId="77777777" w:rsidR="009A0710" w:rsidRDefault="00000000">
      <w:r>
        <w:t xml:space="preserve">Coons, S. J.; Gwaltney, C. J.; Hays, R. D.; Lundy, J. J.; Sloan, J. A.; </w:t>
      </w:r>
      <w:proofErr w:type="spellStart"/>
      <w:r>
        <w:t>Revicki</w:t>
      </w:r>
      <w:proofErr w:type="spellEnd"/>
      <w:r>
        <w:t xml:space="preserve">, D. A.; Lenderking, W. R.; </w:t>
      </w:r>
      <w:proofErr w:type="spellStart"/>
      <w:r>
        <w:t>Cella</w:t>
      </w:r>
      <w:proofErr w:type="spellEnd"/>
      <w:r>
        <w:t xml:space="preserve">, D.; and </w:t>
      </w:r>
      <w:proofErr w:type="spellStart"/>
      <w:r>
        <w:t>Basch</w:t>
      </w:r>
      <w:proofErr w:type="spellEnd"/>
      <w:r>
        <w:t>, E. 2009. Recommendations on evidence needed to support measurement equivalence between electronic and paper-based patient-reported outcome (PRO) measures: ISPOR ePRO Good Research Practices Task Force report. Value in Health, 12(4): 419–429.</w:t>
      </w:r>
    </w:p>
    <w:p w14:paraId="624D4B90" w14:textId="77777777" w:rsidR="009A0710" w:rsidRDefault="00000000">
      <w:proofErr w:type="spellStart"/>
      <w:r>
        <w:t>Cortellessa</w:t>
      </w:r>
      <w:proofErr w:type="spellEnd"/>
      <w:r>
        <w:t xml:space="preserve">, G.; De </w:t>
      </w:r>
      <w:proofErr w:type="spellStart"/>
      <w:r>
        <w:t>Benedictis</w:t>
      </w:r>
      <w:proofErr w:type="spellEnd"/>
      <w:r>
        <w:t xml:space="preserve">, R.; </w:t>
      </w:r>
      <w:proofErr w:type="spellStart"/>
      <w:r>
        <w:t>Fracasso</w:t>
      </w:r>
      <w:proofErr w:type="spellEnd"/>
      <w:r>
        <w:t xml:space="preserve">, F.; </w:t>
      </w:r>
      <w:proofErr w:type="spellStart"/>
      <w:r>
        <w:t>Orlandini</w:t>
      </w:r>
      <w:proofErr w:type="spellEnd"/>
      <w:r>
        <w:t xml:space="preserve">, A.; </w:t>
      </w:r>
      <w:proofErr w:type="spellStart"/>
      <w:r>
        <w:t>Umbrico</w:t>
      </w:r>
      <w:proofErr w:type="spellEnd"/>
      <w:r>
        <w:t xml:space="preserve">, A.; and Cesta, A. 2021. AI and robotics to help older adults: Revisiting projects in search of lessons learned. </w:t>
      </w:r>
      <w:proofErr w:type="spellStart"/>
      <w:r>
        <w:t>Paladyn</w:t>
      </w:r>
      <w:proofErr w:type="spellEnd"/>
      <w:r>
        <w:t xml:space="preserve">, Journal of </w:t>
      </w:r>
      <w:proofErr w:type="spellStart"/>
      <w:r>
        <w:t>Behavioral</w:t>
      </w:r>
      <w:proofErr w:type="spellEnd"/>
      <w:r>
        <w:t xml:space="preserve"> Robotics, 12(1): 356–378.</w:t>
      </w:r>
    </w:p>
    <w:p w14:paraId="4A58B265" w14:textId="77777777" w:rsidR="009A0710" w:rsidRDefault="00000000">
      <w:r>
        <w:t>Dai, B.; Gao, C.; and Xie, Y. 2022. Flexible wearable devices for intelligent health monitoring. View, 3(5): 20220027.</w:t>
      </w:r>
    </w:p>
    <w:p w14:paraId="47C0B9C9" w14:textId="77777777" w:rsidR="009A0710" w:rsidRDefault="00000000">
      <w:proofErr w:type="spellStart"/>
      <w:r>
        <w:t>Dazeley</w:t>
      </w:r>
      <w:proofErr w:type="spellEnd"/>
      <w:r>
        <w:t xml:space="preserve">, R.; </w:t>
      </w:r>
      <w:proofErr w:type="spellStart"/>
      <w:r>
        <w:t>Vamplew</w:t>
      </w:r>
      <w:proofErr w:type="spellEnd"/>
      <w:r>
        <w:t xml:space="preserve">, P.; </w:t>
      </w:r>
      <w:proofErr w:type="spellStart"/>
      <w:r>
        <w:t>Foale</w:t>
      </w:r>
      <w:proofErr w:type="spellEnd"/>
      <w:r>
        <w:t xml:space="preserve">, C.; Young, C.; </w:t>
      </w:r>
      <w:proofErr w:type="spellStart"/>
      <w:r>
        <w:t>Aryal</w:t>
      </w:r>
      <w:proofErr w:type="spellEnd"/>
      <w:r>
        <w:t>, S.; and Cruz, F. 2021. Levels of explainable artificial intelligence for human-aligned conversational explanations. Artificial Intelligence, 299: 103525.</w:t>
      </w:r>
    </w:p>
    <w:p w14:paraId="47A43FD7" w14:textId="77777777" w:rsidR="009A0710" w:rsidRDefault="00000000">
      <w:r>
        <w:t xml:space="preserve">Devlin, N. J.; and Brooks, R. 2017. EQ-5D and the </w:t>
      </w:r>
      <w:proofErr w:type="spellStart"/>
      <w:r>
        <w:t>EuroQol</w:t>
      </w:r>
      <w:proofErr w:type="spellEnd"/>
      <w:r>
        <w:t xml:space="preserve"> group: past, present and future. Applied health economics and health policy, 15(2): 127–137.</w:t>
      </w:r>
    </w:p>
    <w:p w14:paraId="0332038F" w14:textId="77777777" w:rsidR="009A0710" w:rsidRDefault="00000000">
      <w:r>
        <w:t xml:space="preserve">di </w:t>
      </w:r>
      <w:proofErr w:type="spellStart"/>
      <w:r>
        <w:t>Biase</w:t>
      </w:r>
      <w:proofErr w:type="spellEnd"/>
      <w:r>
        <w:t xml:space="preserve">, L.; Pecoraro, P. M.; Pecoraro, G.; </w:t>
      </w:r>
      <w:proofErr w:type="spellStart"/>
      <w:r>
        <w:t>Caminiti</w:t>
      </w:r>
      <w:proofErr w:type="spellEnd"/>
      <w:r>
        <w:t xml:space="preserve">, M. L.; and Di Lazzaro, V. 2022. </w:t>
      </w:r>
      <w:proofErr w:type="spellStart"/>
      <w:r>
        <w:t>Markerless</w:t>
      </w:r>
      <w:proofErr w:type="spellEnd"/>
      <w:r>
        <w:t xml:space="preserve"> radio frequency indoor monitoring for telemedicine: Gait analysis, indoor positioning, fall detection, tremor analysis, vital signs and sleep monitoring. Sensors, 22(21): 8486.</w:t>
      </w:r>
    </w:p>
    <w:p w14:paraId="30BF405E" w14:textId="77777777" w:rsidR="009A0710" w:rsidRDefault="00000000">
      <w:r>
        <w:t xml:space="preserve">Ding, Z.; Kang, J.; Ho, T. O. T.; Wong, K. H.; Fung, H. H.; Meng, H.; and Ma, X. 2022. </w:t>
      </w:r>
      <w:proofErr w:type="spellStart"/>
      <w:r>
        <w:t>TalkTive</w:t>
      </w:r>
      <w:proofErr w:type="spellEnd"/>
      <w:r>
        <w:t>: A conversational agent using backchannels to engage older adults in neurocognitive disorders screening. In Proceedings of the 2022 CHI conference on human factors in computing systems, 1– 19.</w:t>
      </w:r>
    </w:p>
    <w:p w14:paraId="34153190" w14:textId="77777777" w:rsidR="009A0710" w:rsidRDefault="00000000">
      <w:proofErr w:type="spellStart"/>
      <w:r>
        <w:lastRenderedPageBreak/>
        <w:t>Dingler</w:t>
      </w:r>
      <w:proofErr w:type="spellEnd"/>
      <w:r>
        <w:t xml:space="preserve">, T.; </w:t>
      </w:r>
      <w:proofErr w:type="spellStart"/>
      <w:r>
        <w:t>Kwasnicka</w:t>
      </w:r>
      <w:proofErr w:type="spellEnd"/>
      <w:r>
        <w:t>, D.; Wei, J.; Gong, E.; and Oldenburg, B. 2021. The use and promise of conversational agents in digital health. Yearbook of Medical Informatics, 30(01): 191–199.</w:t>
      </w:r>
    </w:p>
    <w:p w14:paraId="2C1B42DF" w14:textId="77777777" w:rsidR="009A0710" w:rsidRDefault="00000000">
      <w:proofErr w:type="spellStart"/>
      <w:r>
        <w:t>Donoso-Guzm´an</w:t>
      </w:r>
      <w:proofErr w:type="spellEnd"/>
      <w:r>
        <w:t xml:space="preserve">, I.; </w:t>
      </w:r>
      <w:proofErr w:type="spellStart"/>
      <w:r>
        <w:t>Ooge</w:t>
      </w:r>
      <w:proofErr w:type="spellEnd"/>
      <w:r>
        <w:t xml:space="preserve">, J.; Parra, D.; and </w:t>
      </w:r>
      <w:proofErr w:type="spellStart"/>
      <w:r>
        <w:t>Verbert</w:t>
      </w:r>
      <w:proofErr w:type="spellEnd"/>
      <w:r>
        <w:t>, K. 2023. Towards a comprehensive human-centred evaluation framework for explainable AI. In World conference on explainable artificial intelligence, 183–204. Springer.</w:t>
      </w:r>
    </w:p>
    <w:p w14:paraId="2CE12B85" w14:textId="77777777" w:rsidR="009A0710" w:rsidRDefault="00000000">
      <w:proofErr w:type="spellStart"/>
      <w:r>
        <w:t>Endert</w:t>
      </w:r>
      <w:proofErr w:type="spellEnd"/>
      <w:r>
        <w:t xml:space="preserve">, A.; </w:t>
      </w:r>
      <w:proofErr w:type="spellStart"/>
      <w:r>
        <w:t>Ribarsky</w:t>
      </w:r>
      <w:proofErr w:type="spellEnd"/>
      <w:r>
        <w:t xml:space="preserve">, W.; </w:t>
      </w:r>
      <w:proofErr w:type="spellStart"/>
      <w:r>
        <w:t>Turkay</w:t>
      </w:r>
      <w:proofErr w:type="spellEnd"/>
      <w:r>
        <w:t xml:space="preserve">, C.; Wong, B. W.; </w:t>
      </w:r>
      <w:proofErr w:type="spellStart"/>
      <w:r>
        <w:t>Nabney</w:t>
      </w:r>
      <w:proofErr w:type="spellEnd"/>
      <w:r>
        <w:t>, I.; Blanco, I. D.; and Rossi, F. 2017. The state of the art in integrating machine learning into visual analytics. In Computer graphics forum, volume 36, 458–486. Wiley Online Library.</w:t>
      </w:r>
    </w:p>
    <w:p w14:paraId="554F643B" w14:textId="77777777" w:rsidR="009A0710" w:rsidRDefault="00000000">
      <w:r>
        <w:t>Escobar-</w:t>
      </w:r>
      <w:proofErr w:type="spellStart"/>
      <w:r>
        <w:t>Linero</w:t>
      </w:r>
      <w:proofErr w:type="spellEnd"/>
      <w:r>
        <w:t xml:space="preserve">, E.; </w:t>
      </w:r>
      <w:proofErr w:type="spellStart"/>
      <w:r>
        <w:t>Mu˜noz-Saavedra</w:t>
      </w:r>
      <w:proofErr w:type="spellEnd"/>
      <w:r>
        <w:t>, L.; Luna-</w:t>
      </w:r>
      <w:proofErr w:type="spellStart"/>
      <w:r>
        <w:t>Perej´on</w:t>
      </w:r>
      <w:proofErr w:type="spellEnd"/>
      <w:r>
        <w:t xml:space="preserve">, F.; </w:t>
      </w:r>
      <w:proofErr w:type="spellStart"/>
      <w:r>
        <w:t>Sevillano</w:t>
      </w:r>
      <w:proofErr w:type="spellEnd"/>
      <w:r>
        <w:t xml:space="preserve">, J. L.; and </w:t>
      </w:r>
      <w:proofErr w:type="spellStart"/>
      <w:r>
        <w:t>Dom´ınguez</w:t>
      </w:r>
      <w:proofErr w:type="spellEnd"/>
      <w:r>
        <w:t>-Morales, M. 2023. Wearable health devices for diagnosis support: evolution and future tendencies. Sensors, 23(3): 1678.</w:t>
      </w:r>
    </w:p>
    <w:p w14:paraId="61C5203F" w14:textId="77777777" w:rsidR="009A0710" w:rsidRDefault="00000000">
      <w:r>
        <w:t xml:space="preserve">Fares, N.; </w:t>
      </w:r>
      <w:proofErr w:type="spellStart"/>
      <w:r>
        <w:t>Sherratt</w:t>
      </w:r>
      <w:proofErr w:type="spellEnd"/>
      <w:r>
        <w:t xml:space="preserve">, R. S.; and </w:t>
      </w:r>
      <w:proofErr w:type="spellStart"/>
      <w:r>
        <w:t>Elhajj</w:t>
      </w:r>
      <w:proofErr w:type="spellEnd"/>
      <w:r>
        <w:t>, I. H. 2021. Directing and orienting ICT healthcare solutions to address the needs of the aging population. In Healthcare, volume 9, 147. MDPI.</w:t>
      </w:r>
    </w:p>
    <w:p w14:paraId="6272F18B" w14:textId="77777777" w:rsidR="009A0710" w:rsidRDefault="00000000">
      <w:proofErr w:type="spellStart"/>
      <w:r>
        <w:t>Fioranelli</w:t>
      </w:r>
      <w:proofErr w:type="spellEnd"/>
      <w:r>
        <w:t xml:space="preserve">, F.; Le </w:t>
      </w:r>
      <w:proofErr w:type="spellStart"/>
      <w:r>
        <w:t>Kernec</w:t>
      </w:r>
      <w:proofErr w:type="spellEnd"/>
      <w:r>
        <w:t>, J.; and Shah, S. A. 2019. Radar for health care: Recognizing human activities and monitoring vital signs. IEEE Potentials, 38(4): 16–23.</w:t>
      </w:r>
    </w:p>
    <w:p w14:paraId="6EA94779" w14:textId="77777777" w:rsidR="009A0710" w:rsidRDefault="00000000">
      <w:proofErr w:type="spellStart"/>
      <w:r>
        <w:t>Galland</w:t>
      </w:r>
      <w:proofErr w:type="spellEnd"/>
      <w:r>
        <w:t xml:space="preserve">, L.; </w:t>
      </w:r>
      <w:proofErr w:type="spellStart"/>
      <w:r>
        <w:t>Pelachaud</w:t>
      </w:r>
      <w:proofErr w:type="spellEnd"/>
      <w:r>
        <w:t xml:space="preserve">, C.; and </w:t>
      </w:r>
      <w:proofErr w:type="spellStart"/>
      <w:r>
        <w:t>Pecune</w:t>
      </w:r>
      <w:proofErr w:type="spellEnd"/>
      <w:r>
        <w:t>, F. 2022. Adapting conversational strategies in information-giving human-agent interaction. Frontiers in Artificial Intelligence, 5: 1029340.</w:t>
      </w:r>
    </w:p>
    <w:p w14:paraId="6F27CEF6" w14:textId="77777777" w:rsidR="009A0710" w:rsidRDefault="00000000">
      <w:r>
        <w:t>Geoghegan, L.; Scarborough, A.; Wormald, J.; Harrison, C.; Collins, D.; Gardiner, M.; Bruce, J.; and Rodrigues, J. 2021. Automated conversational agents for post-intervention follow-up: a systematic review. BJS open, 5(4): zrab070.</w:t>
      </w:r>
    </w:p>
    <w:p w14:paraId="653BA3AF" w14:textId="77777777" w:rsidR="009A0710" w:rsidRDefault="00000000">
      <w:proofErr w:type="spellStart"/>
      <w:r>
        <w:t>Gerkens</w:t>
      </w:r>
      <w:proofErr w:type="spellEnd"/>
      <w:r>
        <w:t xml:space="preserve">, S.; </w:t>
      </w:r>
      <w:proofErr w:type="spellStart"/>
      <w:r>
        <w:t>Merkur</w:t>
      </w:r>
      <w:proofErr w:type="spellEnd"/>
      <w:r>
        <w:t>, S.; et al. 2020. Belgium: health system review. Health systems in transition, 22(5).</w:t>
      </w:r>
    </w:p>
    <w:p w14:paraId="3C035534" w14:textId="77777777" w:rsidR="009A0710" w:rsidRDefault="00000000">
      <w:proofErr w:type="spellStart"/>
      <w:r>
        <w:t>Gettel</w:t>
      </w:r>
      <w:proofErr w:type="spellEnd"/>
      <w:r>
        <w:t>, C. J.; Chen, K.; and Goldberg, E. M. 2021. Dementia care, fall detection, and ambient-assisted living technologies help older adults age in place: a scoping review. Journal of applied gerontology, 40(12): 1893–1902.</w:t>
      </w:r>
    </w:p>
    <w:p w14:paraId="66E8838E" w14:textId="77777777" w:rsidR="009A0710" w:rsidRDefault="00000000">
      <w:proofErr w:type="spellStart"/>
      <w:r>
        <w:t>Guizani</w:t>
      </w:r>
      <w:proofErr w:type="spellEnd"/>
      <w:r>
        <w:t xml:space="preserve">, K.; and </w:t>
      </w:r>
      <w:proofErr w:type="spellStart"/>
      <w:r>
        <w:t>Guizani</w:t>
      </w:r>
      <w:proofErr w:type="spellEnd"/>
      <w:r>
        <w:t>, S. 2020. IoT healthcare monitoring systems overview for elderly population. In 2020 International Wireless Communications and Mobile Computing (IWCMC), 2005–2009. IEEE.</w:t>
      </w:r>
    </w:p>
    <w:p w14:paraId="010BCC5C" w14:textId="77777777" w:rsidR="009A0710" w:rsidRDefault="00000000">
      <w:proofErr w:type="spellStart"/>
      <w:r>
        <w:t>Hakimov</w:t>
      </w:r>
      <w:proofErr w:type="spellEnd"/>
      <w:r>
        <w:t xml:space="preserve">, S.; Weiser, Y.; and </w:t>
      </w:r>
      <w:proofErr w:type="spellStart"/>
      <w:r>
        <w:t>Schlangen</w:t>
      </w:r>
      <w:proofErr w:type="spellEnd"/>
      <w:r>
        <w:t>, D. 2024. Evaluating modular dialogue system for form filling using large language models. In Proceedings of the 1st Workshop on Simulating Conversational Intelligence in Chat (SCI-CHAT 2024), 36–52.</w:t>
      </w:r>
    </w:p>
    <w:p w14:paraId="3CAB9CDF" w14:textId="77777777" w:rsidR="009A0710" w:rsidRDefault="00000000">
      <w:r>
        <w:lastRenderedPageBreak/>
        <w:t xml:space="preserve">He, G.; Aishwarya, N.; and </w:t>
      </w:r>
      <w:proofErr w:type="spellStart"/>
      <w:r>
        <w:t>Gadiraju</w:t>
      </w:r>
      <w:proofErr w:type="spellEnd"/>
      <w:r>
        <w:t xml:space="preserve">, U. 2025. Is conversational </w:t>
      </w:r>
      <w:proofErr w:type="spellStart"/>
      <w:r>
        <w:t>xai</w:t>
      </w:r>
      <w:proofErr w:type="spellEnd"/>
      <w:r>
        <w:t xml:space="preserve"> all you need? human-ai decision making with a conversational </w:t>
      </w:r>
      <w:proofErr w:type="spellStart"/>
      <w:r>
        <w:t>xai</w:t>
      </w:r>
      <w:proofErr w:type="spellEnd"/>
      <w:r>
        <w:t xml:space="preserve"> assistant. In Proceedings of the 30th international conference on intelligent user interfaces, 907– 924.</w:t>
      </w:r>
    </w:p>
    <w:p w14:paraId="1EADDA60" w14:textId="77777777" w:rsidR="009A0710" w:rsidRDefault="00000000">
      <w:r>
        <w:t>Huang, X.; Zhang, Z.; Guo, F.; Wang, X.; Chi, K.; and Wu, K. 2024. Research on older adults’ interaction with e-health interface based on explainable artificial intelligence. In International Conference on Human-Computer Interaction, 38–52. Springer.</w:t>
      </w:r>
    </w:p>
    <w:p w14:paraId="0E9F5F22" w14:textId="77777777" w:rsidR="009A0710" w:rsidRDefault="00000000">
      <w:r>
        <w:t xml:space="preserve">Jiang, L.; Liu, S.; and Chen, C. 2019. Recent research advances on interactive machine learning: L. Jiang et al. Journal of Visualization, 22(2): 401–417. </w:t>
      </w:r>
    </w:p>
    <w:p w14:paraId="13114F0E" w14:textId="77777777" w:rsidR="009A0710" w:rsidRDefault="00000000">
      <w:r>
        <w:t xml:space="preserve">Junaid, S. B.; Imam, A. A.; </w:t>
      </w:r>
      <w:proofErr w:type="spellStart"/>
      <w:r>
        <w:t>Abdulkarim</w:t>
      </w:r>
      <w:proofErr w:type="spellEnd"/>
      <w:r>
        <w:t xml:space="preserve">, M.; </w:t>
      </w:r>
      <w:proofErr w:type="spellStart"/>
      <w:r>
        <w:t>Surakat</w:t>
      </w:r>
      <w:proofErr w:type="spellEnd"/>
      <w:r>
        <w:t xml:space="preserve">, Y. A.; Balogun, A. O.; Kumar, G.; </w:t>
      </w:r>
      <w:proofErr w:type="spellStart"/>
      <w:r>
        <w:t>Shuaibu</w:t>
      </w:r>
      <w:proofErr w:type="spellEnd"/>
      <w:r>
        <w:t xml:space="preserve">, A. N.; Garba, A.; </w:t>
      </w:r>
      <w:proofErr w:type="spellStart"/>
      <w:r>
        <w:t>Sahalu</w:t>
      </w:r>
      <w:proofErr w:type="spellEnd"/>
      <w:r>
        <w:t>, Y.; Mohammed, A.; et al. 2022. Recent advances in artificial intelligence and wearable sensors in healthcare delivery. Applied Sciences, 12(20): 10271.</w:t>
      </w:r>
    </w:p>
    <w:p w14:paraId="1A128C4D" w14:textId="77777777" w:rsidR="009A0710" w:rsidRDefault="00000000">
      <w:r>
        <w:t xml:space="preserve">Kim, S.; and Choudhury, A. 2021. Exploring older adults’ perception and use of smart speaker-based voice assistants: A longitudinal study. Computers in Human </w:t>
      </w:r>
      <w:proofErr w:type="spellStart"/>
      <w:r>
        <w:t>Behavior</w:t>
      </w:r>
      <w:proofErr w:type="spellEnd"/>
      <w:r>
        <w:t>, 124: 106914.</w:t>
      </w:r>
    </w:p>
    <w:p w14:paraId="549D32FF" w14:textId="77777777" w:rsidR="009A0710" w:rsidRDefault="00000000">
      <w:proofErr w:type="spellStart"/>
      <w:r>
        <w:t>Lakkaraju</w:t>
      </w:r>
      <w:proofErr w:type="spellEnd"/>
      <w:r>
        <w:t xml:space="preserve">, H.; Slack, D.; Chen, Y.; Tan, C.; and Singh, S. 2022. Rethinking explainability as a dialogue: A practitioner’s perspective. </w:t>
      </w:r>
      <w:proofErr w:type="spellStart"/>
      <w:r>
        <w:t>arXiv</w:t>
      </w:r>
      <w:proofErr w:type="spellEnd"/>
      <w:r>
        <w:t xml:space="preserve"> preprint arXiv:2202.01875. Li, Y.; Fu, X.; Verma, G.; </w:t>
      </w:r>
      <w:proofErr w:type="spellStart"/>
      <w:r>
        <w:t>Buitelaar</w:t>
      </w:r>
      <w:proofErr w:type="spellEnd"/>
      <w:r>
        <w:t>, P.; and Liu, M. 2025.</w:t>
      </w:r>
    </w:p>
    <w:p w14:paraId="2DBA565A" w14:textId="77777777" w:rsidR="009A0710" w:rsidRDefault="00000000">
      <w:r>
        <w:t xml:space="preserve">Mitigating hallucination in large language models (LLMs): an application-oriented survey on RAG, reasoning, and Agentic Systems. </w:t>
      </w:r>
      <w:proofErr w:type="spellStart"/>
      <w:r>
        <w:t>arXiv</w:t>
      </w:r>
      <w:proofErr w:type="spellEnd"/>
      <w:r>
        <w:t xml:space="preserve"> preprint arXiv:2510.24476.</w:t>
      </w:r>
    </w:p>
    <w:p w14:paraId="608F7BE2" w14:textId="77777777" w:rsidR="009A0710" w:rsidRDefault="00000000">
      <w:r>
        <w:t>Liao, Q. V.; Gruen, D.; and Miller, S. 2020. Questioning the AI: informing design practices for explainable AI user experiences. In Proceedings of the 2020 CHI conference on human factors in computing systems, 1–15.</w:t>
      </w:r>
    </w:p>
    <w:p w14:paraId="7B9067FC" w14:textId="77777777" w:rsidR="009A0710" w:rsidRDefault="00000000">
      <w:r>
        <w:t>Liao, Q. V.; and Varshney, K. R. 2021. Human-</w:t>
      </w:r>
      <w:proofErr w:type="spellStart"/>
      <w:r>
        <w:t>centered</w:t>
      </w:r>
      <w:proofErr w:type="spellEnd"/>
      <w:r>
        <w:t xml:space="preserve"> explainable ai (</w:t>
      </w:r>
      <w:proofErr w:type="spellStart"/>
      <w:r>
        <w:t>xai</w:t>
      </w:r>
      <w:proofErr w:type="spellEnd"/>
      <w:r>
        <w:t xml:space="preserve">): From algorithms to user experiences. </w:t>
      </w:r>
      <w:proofErr w:type="spellStart"/>
      <w:r>
        <w:t>arXiv</w:t>
      </w:r>
      <w:proofErr w:type="spellEnd"/>
      <w:r>
        <w:t xml:space="preserve"> preprint arXiv:2110.10790.</w:t>
      </w:r>
    </w:p>
    <w:p w14:paraId="6DF23B69" w14:textId="77777777" w:rsidR="009A0710" w:rsidRDefault="00000000">
      <w:r>
        <w:t xml:space="preserve">Liao, Q. V.; and Vaughan, J. W. 2024. Ai transparency in the age of </w:t>
      </w:r>
      <w:proofErr w:type="spellStart"/>
      <w:r>
        <w:t>llms</w:t>
      </w:r>
      <w:proofErr w:type="spellEnd"/>
      <w:r>
        <w:t>: A human-</w:t>
      </w:r>
      <w:proofErr w:type="spellStart"/>
      <w:r>
        <w:t>centered</w:t>
      </w:r>
      <w:proofErr w:type="spellEnd"/>
      <w:r>
        <w:t xml:space="preserve"> research roadmap. Harvard Data Science Review, (Special Issue 5).</w:t>
      </w:r>
    </w:p>
    <w:p w14:paraId="00DE1792" w14:textId="77777777" w:rsidR="009A0710" w:rsidRDefault="00000000">
      <w:r>
        <w:t xml:space="preserve">Liu, M.; Wang, C.; and Hu, J. 2023. Older adults’ intention to use voice assistants: Usability and emotional needs. </w:t>
      </w:r>
      <w:proofErr w:type="spellStart"/>
      <w:r>
        <w:t>Heliyon</w:t>
      </w:r>
      <w:proofErr w:type="spellEnd"/>
      <w:r>
        <w:t>, 9(11).</w:t>
      </w:r>
    </w:p>
    <w:p w14:paraId="633AE938" w14:textId="77777777" w:rsidR="009A0710" w:rsidRDefault="00000000">
      <w:r>
        <w:t xml:space="preserve">London, A. J.; Razin, Y. S.; </w:t>
      </w:r>
      <w:proofErr w:type="spellStart"/>
      <w:r>
        <w:t>Borenstein</w:t>
      </w:r>
      <w:proofErr w:type="spellEnd"/>
      <w:r>
        <w:t xml:space="preserve">, J.; </w:t>
      </w:r>
      <w:proofErr w:type="spellStart"/>
      <w:r>
        <w:t>Eslami</w:t>
      </w:r>
      <w:proofErr w:type="spellEnd"/>
      <w:r>
        <w:t>, M.; Perkins, R.; and Robinette, P. 2023. Ethical issues in near-future socially supportive smart assistants for older adults. IEEE Transactions on Technology and Society, 4(4): 291– 301.</w:t>
      </w:r>
    </w:p>
    <w:p w14:paraId="6611F77D" w14:textId="77777777" w:rsidR="009A0710" w:rsidRDefault="00000000">
      <w:r>
        <w:t xml:space="preserve">Mahmood, A.; Cao, S.; </w:t>
      </w:r>
      <w:proofErr w:type="spellStart"/>
      <w:r>
        <w:t>Stiber</w:t>
      </w:r>
      <w:proofErr w:type="spellEnd"/>
      <w:r>
        <w:t>, M.; Antony, V. N.; and Huang, C.-M. 2025. Voice assistants for health self-management: Designing for and with older adults. In Proceedings of the 2025 CHI Conference on Human Factors in Computing Systems, 1–22.</w:t>
      </w:r>
    </w:p>
    <w:p w14:paraId="5A505C29" w14:textId="77777777" w:rsidR="009A0710" w:rsidRDefault="00000000">
      <w:r>
        <w:lastRenderedPageBreak/>
        <w:t xml:space="preserve">Mathur, N.; </w:t>
      </w:r>
      <w:proofErr w:type="spellStart"/>
      <w:r>
        <w:t>Zubatiy</w:t>
      </w:r>
      <w:proofErr w:type="spellEnd"/>
      <w:r>
        <w:t xml:space="preserve">, T.; and </w:t>
      </w:r>
      <w:proofErr w:type="spellStart"/>
      <w:r>
        <w:t>Mynatt</w:t>
      </w:r>
      <w:proofErr w:type="spellEnd"/>
      <w:r>
        <w:t xml:space="preserve">, E. 2024. Categorizing Sources of Information for Explanations in Conversational AI Systems for Older Adults Aging in Place. </w:t>
      </w:r>
      <w:proofErr w:type="spellStart"/>
      <w:r>
        <w:t>arXiv</w:t>
      </w:r>
      <w:proofErr w:type="spellEnd"/>
      <w:r>
        <w:t xml:space="preserve"> preprint arXiv:2406.05111.</w:t>
      </w:r>
    </w:p>
    <w:p w14:paraId="57EC845C" w14:textId="77777777" w:rsidR="009A0710" w:rsidRDefault="00000000">
      <w:r>
        <w:t xml:space="preserve">Mathur, N.; </w:t>
      </w:r>
      <w:proofErr w:type="spellStart"/>
      <w:r>
        <w:t>Zubatiy</w:t>
      </w:r>
      <w:proofErr w:type="spellEnd"/>
      <w:r>
        <w:t xml:space="preserve">, T.; </w:t>
      </w:r>
      <w:proofErr w:type="spellStart"/>
      <w:r>
        <w:t>Rozga</w:t>
      </w:r>
      <w:proofErr w:type="spellEnd"/>
      <w:r>
        <w:t xml:space="preserve">, A.; </w:t>
      </w:r>
      <w:proofErr w:type="spellStart"/>
      <w:r>
        <w:t>Forlizzi</w:t>
      </w:r>
      <w:proofErr w:type="spellEnd"/>
      <w:r>
        <w:t xml:space="preserve">, J.; and D </w:t>
      </w:r>
      <w:proofErr w:type="spellStart"/>
      <w:r>
        <w:t>Mynatt</w:t>
      </w:r>
      <w:proofErr w:type="spellEnd"/>
      <w:r>
        <w:t>, E. 2026. Sometimes You Need Facts, and Sometimes a Hug: Understanding Older Adults’ Preferences for Explanations in LLM-Based Conversational AI Systems. In Proceedings of the 2026 CHI Conference on Human Factors in Computing Systems, 1–21.</w:t>
      </w:r>
    </w:p>
    <w:p w14:paraId="279E93BE" w14:textId="77777777" w:rsidR="009A0710" w:rsidRDefault="00000000">
      <w:r>
        <w:t>Mhlanga, D. 2024. Artificial intelligence in elderly care: Navigating ethical and responsible AI adoption for seniors. In Fostering long-term sustainable development in Africa: Overcoming poverty, inequality, and unemployment, 411– 440. Springer.</w:t>
      </w:r>
    </w:p>
    <w:p w14:paraId="09969D18" w14:textId="77777777" w:rsidR="009A0710" w:rsidRDefault="00000000">
      <w:proofErr w:type="spellStart"/>
      <w:r>
        <w:t>Mindlin</w:t>
      </w:r>
      <w:proofErr w:type="spellEnd"/>
      <w:r>
        <w:t xml:space="preserve">, D.; Beer, F.; </w:t>
      </w:r>
      <w:proofErr w:type="spellStart"/>
      <w:r>
        <w:t>Sieger</w:t>
      </w:r>
      <w:proofErr w:type="spellEnd"/>
      <w:r>
        <w:t xml:space="preserve">, L. N.; </w:t>
      </w:r>
      <w:proofErr w:type="spellStart"/>
      <w:r>
        <w:t>Heindorf</w:t>
      </w:r>
      <w:proofErr w:type="spellEnd"/>
      <w:r>
        <w:t xml:space="preserve">, S.; Esposito, E.; </w:t>
      </w:r>
      <w:proofErr w:type="spellStart"/>
      <w:r>
        <w:t>Ngonga</w:t>
      </w:r>
      <w:proofErr w:type="spellEnd"/>
      <w:r>
        <w:t xml:space="preserve"> </w:t>
      </w:r>
      <w:proofErr w:type="spellStart"/>
      <w:r>
        <w:t>Ngomo</w:t>
      </w:r>
      <w:proofErr w:type="spellEnd"/>
      <w:r>
        <w:t xml:space="preserve">, A.-C.; and Cimiano, P. 2025. Beyond one-shot explanations: a systematic literature review of dialogue-based </w:t>
      </w:r>
      <w:proofErr w:type="spellStart"/>
      <w:r>
        <w:t>xAI</w:t>
      </w:r>
      <w:proofErr w:type="spellEnd"/>
      <w:r>
        <w:t xml:space="preserve"> approaches: D. </w:t>
      </w:r>
      <w:proofErr w:type="spellStart"/>
      <w:r>
        <w:t>Mindlin</w:t>
      </w:r>
      <w:proofErr w:type="spellEnd"/>
      <w:r>
        <w:t xml:space="preserve"> et al. Artificial Intelligence Review, 58(3): 81.</w:t>
      </w:r>
    </w:p>
    <w:p w14:paraId="7215569E" w14:textId="77777777" w:rsidR="009A0710" w:rsidRDefault="00000000">
      <w:proofErr w:type="spellStart"/>
      <w:r>
        <w:t>Muehlhausen</w:t>
      </w:r>
      <w:proofErr w:type="spellEnd"/>
      <w:r>
        <w:t xml:space="preserve">, W.; Doll, H.; Quadri, N.; Fordham, B.; </w:t>
      </w:r>
      <w:proofErr w:type="spellStart"/>
      <w:r>
        <w:t>O’Donohoe</w:t>
      </w:r>
      <w:proofErr w:type="spellEnd"/>
      <w:r>
        <w:t xml:space="preserve">, P.; </w:t>
      </w:r>
      <w:proofErr w:type="spellStart"/>
      <w:r>
        <w:t>Dogar</w:t>
      </w:r>
      <w:proofErr w:type="spellEnd"/>
      <w:r>
        <w:t>, N.; and Wild, D. J. 2015. Equivalence of electronic and paper administration of patient-reported outcome measures: a systematic review and meta-analysis of studies conducted between 2007 and 2013. Health and quality of life outcomes, 13(1): 167.</w:t>
      </w:r>
    </w:p>
    <w:p w14:paraId="37A8CE61" w14:textId="77777777" w:rsidR="009A0710" w:rsidRDefault="00000000">
      <w:r>
        <w:t xml:space="preserve">Nguyen, D. KWETSBAARHEID BIJ OUDEREN </w:t>
      </w:r>
      <w:proofErr w:type="spellStart"/>
      <w:r>
        <w:t>Gezondheidsenquête</w:t>
      </w:r>
      <w:proofErr w:type="spellEnd"/>
      <w:r>
        <w:t xml:space="preserve"> 2018.</w:t>
      </w:r>
    </w:p>
    <w:p w14:paraId="62023721" w14:textId="77777777" w:rsidR="009A0710" w:rsidRDefault="00000000">
      <w:r>
        <w:t xml:space="preserve">Nguyen, V. B.; </w:t>
      </w:r>
      <w:proofErr w:type="spellStart"/>
      <w:r>
        <w:t>Schl¨otterer</w:t>
      </w:r>
      <w:proofErr w:type="spellEnd"/>
      <w:r>
        <w:t xml:space="preserve">, J.; and Seifert, C. 2023. From black boxes to conversations: Incorporating </w:t>
      </w:r>
      <w:proofErr w:type="spellStart"/>
      <w:r>
        <w:t>xai</w:t>
      </w:r>
      <w:proofErr w:type="spellEnd"/>
      <w:r>
        <w:t xml:space="preserve"> in a conversational agent. In World Conference on Explainable Artificial Intelligence, 71–96. Springer.</w:t>
      </w:r>
    </w:p>
    <w:p w14:paraId="0A09C94E" w14:textId="77777777" w:rsidR="009A0710" w:rsidRDefault="00000000">
      <w:proofErr w:type="spellStart"/>
      <w:r>
        <w:t>Nobani</w:t>
      </w:r>
      <w:proofErr w:type="spellEnd"/>
      <w:r>
        <w:t xml:space="preserve">, N.; </w:t>
      </w:r>
      <w:proofErr w:type="spellStart"/>
      <w:r>
        <w:t>Mercorio</w:t>
      </w:r>
      <w:proofErr w:type="spellEnd"/>
      <w:r>
        <w:t xml:space="preserve">, F.; </w:t>
      </w:r>
      <w:proofErr w:type="spellStart"/>
      <w:r>
        <w:t>Mezzanzanica</w:t>
      </w:r>
      <w:proofErr w:type="spellEnd"/>
      <w:r>
        <w:t>, M.; et al. 2021. Towards an Explainer-agnostic Conversational XAI. In IJCAI, 4909–4910.</w:t>
      </w:r>
    </w:p>
    <w:p w14:paraId="347C606C" w14:textId="77777777" w:rsidR="009A0710" w:rsidRDefault="00000000">
      <w:proofErr w:type="spellStart"/>
      <w:r>
        <w:t>Norgall</w:t>
      </w:r>
      <w:proofErr w:type="spellEnd"/>
      <w:r>
        <w:t xml:space="preserve">, T. 2009. Fit and independent in the aging population using technology. From concept to reality? </w:t>
      </w:r>
      <w:proofErr w:type="spellStart"/>
      <w:r>
        <w:t>Bundesgesundheitsblatt</w:t>
      </w:r>
      <w:proofErr w:type="spellEnd"/>
      <w:r>
        <w:t xml:space="preserve">, </w:t>
      </w:r>
      <w:proofErr w:type="spellStart"/>
      <w:r>
        <w:t>Gesundheitsforschung</w:t>
      </w:r>
      <w:proofErr w:type="spellEnd"/>
      <w:r>
        <w:t xml:space="preserve">, </w:t>
      </w:r>
      <w:proofErr w:type="spellStart"/>
      <w:r>
        <w:t>Gesundheitsschutz</w:t>
      </w:r>
      <w:proofErr w:type="spellEnd"/>
      <w:r>
        <w:t>, 52(3): 297–305.</w:t>
      </w:r>
    </w:p>
    <w:p w14:paraId="228BD3B9" w14:textId="77777777" w:rsidR="009A0710" w:rsidRDefault="00000000">
      <w:proofErr w:type="spellStart"/>
      <w:r>
        <w:t>Ooge</w:t>
      </w:r>
      <w:proofErr w:type="spellEnd"/>
      <w:r>
        <w:t xml:space="preserve">, J.; and </w:t>
      </w:r>
      <w:proofErr w:type="spellStart"/>
      <w:r>
        <w:t>Verbert</w:t>
      </w:r>
      <w:proofErr w:type="spellEnd"/>
      <w:r>
        <w:t xml:space="preserve">, K. 2021. Trust in prediction models: a mixed-methods pilot study on the impact of domain expertise. In 2021 IEEE Workshop on </w:t>
      </w:r>
      <w:proofErr w:type="spellStart"/>
      <w:r>
        <w:t>TRust</w:t>
      </w:r>
      <w:proofErr w:type="spellEnd"/>
      <w:r>
        <w:t xml:space="preserve"> and </w:t>
      </w:r>
      <w:proofErr w:type="spellStart"/>
      <w:r>
        <w:t>EXpertise</w:t>
      </w:r>
      <w:proofErr w:type="spellEnd"/>
      <w:r>
        <w:t xml:space="preserve"> in Visual Analytics (TREX), 8–13. IEEE.</w:t>
      </w:r>
    </w:p>
    <w:p w14:paraId="6946146E" w14:textId="77777777" w:rsidR="009A0710" w:rsidRDefault="00000000">
      <w:r>
        <w:t xml:space="preserve">Prinsen, C. A.; </w:t>
      </w:r>
      <w:proofErr w:type="spellStart"/>
      <w:r>
        <w:t>Mokkink</w:t>
      </w:r>
      <w:proofErr w:type="spellEnd"/>
      <w:r>
        <w:t xml:space="preserve">, L. B.; </w:t>
      </w:r>
      <w:proofErr w:type="spellStart"/>
      <w:r>
        <w:t>Bouter</w:t>
      </w:r>
      <w:proofErr w:type="spellEnd"/>
      <w:r>
        <w:t xml:space="preserve">, L. M.; Alonso, J.; Patrick, D. L.; De Vet, H. C.; and </w:t>
      </w:r>
      <w:proofErr w:type="spellStart"/>
      <w:r>
        <w:t>Terwee</w:t>
      </w:r>
      <w:proofErr w:type="spellEnd"/>
      <w:r>
        <w:t>, C. B. 2018. COSMIN guideline for systematic reviews of patient-reported outcome measures. Quality of life research, 27(5): 1147– 1157.</w:t>
      </w:r>
    </w:p>
    <w:p w14:paraId="408AB0F4" w14:textId="77777777" w:rsidR="009A0710" w:rsidRDefault="00000000">
      <w:r>
        <w:t>Qian, K.; Zhang, Z.; Yamamoto, Y.; and Schuller, B. W. 2021. Artificial intelligence internet of things for the elderly: From assisted living to health-care monitoring. IEEE Signal Processing Magazine, 38(4): 78–88.</w:t>
      </w:r>
    </w:p>
    <w:p w14:paraId="23B3572F" w14:textId="77777777" w:rsidR="009A0710" w:rsidRDefault="00000000">
      <w:r>
        <w:lastRenderedPageBreak/>
        <w:t xml:space="preserve">Rathore, H.; and Griffith, H. 2024. Personalized and Explainable AI to Safeguard Seniors against Destructive </w:t>
      </w:r>
      <w:proofErr w:type="spellStart"/>
      <w:r>
        <w:t>Behaviors</w:t>
      </w:r>
      <w:proofErr w:type="spellEnd"/>
      <w:r>
        <w:t>.</w:t>
      </w:r>
    </w:p>
    <w:p w14:paraId="3224780C" w14:textId="77777777" w:rsidR="009A0710" w:rsidRDefault="00000000">
      <w:r>
        <w:t>Raza, H.; Abbas, N.; Amir, S.; Arshad, K.; Siddiqui, M. R. U.; Khan, S. I.; et al. 2022. An IoMT enabled smart healthcare model to monitor elderly people using Explainable Artificial Intelligence (EAI). Journal of NCBAE, 1(2): 16–22.</w:t>
      </w:r>
    </w:p>
    <w:p w14:paraId="3C1E3342" w14:textId="77777777" w:rsidR="009A0710" w:rsidRDefault="00000000">
      <w:r>
        <w:t xml:space="preserve">Ribeiro, M. T.; Singh, S.; and </w:t>
      </w:r>
      <w:proofErr w:type="spellStart"/>
      <w:r>
        <w:t>Guestrin</w:t>
      </w:r>
      <w:proofErr w:type="spellEnd"/>
      <w:r>
        <w:t>, C. 2016</w:t>
      </w:r>
      <w:proofErr w:type="gramStart"/>
      <w:r>
        <w:t>. ”</w:t>
      </w:r>
      <w:proofErr w:type="gramEnd"/>
      <w:r>
        <w:t xml:space="preserve"> Why should </w:t>
      </w:r>
      <w:proofErr w:type="spellStart"/>
      <w:r>
        <w:t>i</w:t>
      </w:r>
      <w:proofErr w:type="spellEnd"/>
      <w:r>
        <w:t xml:space="preserve"> trust you?” Explaining the predictions of any classifier. In Proceedings of the 22nd ACM SIGKDD international conference on knowledge discovery and data mining, 1135–1144.</w:t>
      </w:r>
    </w:p>
    <w:p w14:paraId="6DA14F14" w14:textId="77777777" w:rsidR="009A0710" w:rsidRDefault="00000000">
      <w:r>
        <w:t xml:space="preserve">Robinson, E. L.; Park, G.; Lane, K.; </w:t>
      </w:r>
      <w:proofErr w:type="spellStart"/>
      <w:r>
        <w:t>Skubic</w:t>
      </w:r>
      <w:proofErr w:type="spellEnd"/>
      <w:r>
        <w:t xml:space="preserve">, M.; and </w:t>
      </w:r>
      <w:proofErr w:type="spellStart"/>
      <w:r>
        <w:t>Rantz</w:t>
      </w:r>
      <w:proofErr w:type="spellEnd"/>
      <w:r>
        <w:t>, M. 2020. Technology for healthy independent living: creating a tailored in-home sensor system for older adults and family caregivers. Journal of gerontological nursing, 46(7): 35–40.</w:t>
      </w:r>
    </w:p>
    <w:p w14:paraId="6063A5E1" w14:textId="77777777" w:rsidR="009A0710" w:rsidRDefault="00000000">
      <w:r>
        <w:t>Rodgers, M. M.; Pai, V. M.; and Conroy, R. S. 2014. Recent advances in wearable sensors for health monitoring. IEEE Sensors Journal, 15(6): 3119–3126.</w:t>
      </w:r>
    </w:p>
    <w:p w14:paraId="69DF8D11" w14:textId="77777777" w:rsidR="009A0710" w:rsidRDefault="00000000">
      <w:proofErr w:type="spellStart"/>
      <w:r>
        <w:t>Schoonderwoerd</w:t>
      </w:r>
      <w:proofErr w:type="spellEnd"/>
      <w:r>
        <w:t xml:space="preserve">, T. A.; Jorritsma, W.; </w:t>
      </w:r>
      <w:proofErr w:type="spellStart"/>
      <w:r>
        <w:t>Neerincx</w:t>
      </w:r>
      <w:proofErr w:type="spellEnd"/>
      <w:r>
        <w:t>, M. A.; and Van Den Bosch, K. 2021. Human-</w:t>
      </w:r>
      <w:proofErr w:type="spellStart"/>
      <w:r>
        <w:t>centered</w:t>
      </w:r>
      <w:proofErr w:type="spellEnd"/>
      <w:r>
        <w:t xml:space="preserve"> XAI: Developing design patterns for explanations of clinical decision support systems. International Journal of Human-Computer Studies, 154: 102684.</w:t>
      </w:r>
    </w:p>
    <w:p w14:paraId="4033A755" w14:textId="77777777" w:rsidR="009A0710" w:rsidRDefault="00000000">
      <w:r>
        <w:t xml:space="preserve">Schumacher, C. L.; Correia, R.; Hogeveen, S.; Salter, M.; and Donaldson, B. 2023. Implementing the </w:t>
      </w:r>
      <w:proofErr w:type="spellStart"/>
      <w:r>
        <w:t>interRAI</w:t>
      </w:r>
      <w:proofErr w:type="spellEnd"/>
      <w:r>
        <w:t xml:space="preserve"> check-up comprehensive assessment: facilitating care planning and care coordination during the pandemic. International Journal of Integrated Care, 23(1): 5–5.</w:t>
      </w:r>
    </w:p>
    <w:p w14:paraId="18A73FC6" w14:textId="77777777" w:rsidR="009A0710" w:rsidRDefault="00000000">
      <w:proofErr w:type="spellStart"/>
      <w:r>
        <w:t>Seipp</w:t>
      </w:r>
      <w:proofErr w:type="spellEnd"/>
      <w:r>
        <w:t xml:space="preserve">, K.; </w:t>
      </w:r>
      <w:proofErr w:type="spellStart"/>
      <w:r>
        <w:t>Guti´errez</w:t>
      </w:r>
      <w:proofErr w:type="spellEnd"/>
      <w:r>
        <w:t xml:space="preserve">, F.; Ochoa, X.; and </w:t>
      </w:r>
      <w:proofErr w:type="spellStart"/>
      <w:r>
        <w:t>Verbert</w:t>
      </w:r>
      <w:proofErr w:type="spellEnd"/>
      <w:r>
        <w:t xml:space="preserve">, K. 2019. Towards a visual guide for communicating uncertainty in visual analytics. Journal of Computer Languages, 50: 1–18. Seneviratne, O.; </w:t>
      </w:r>
      <w:proofErr w:type="spellStart"/>
      <w:r>
        <w:t>Capuzzo</w:t>
      </w:r>
      <w:proofErr w:type="spellEnd"/>
      <w:r>
        <w:t xml:space="preserve">, B.; and Van </w:t>
      </w:r>
      <w:proofErr w:type="spellStart"/>
      <w:r>
        <w:t>Woensel</w:t>
      </w:r>
      <w:proofErr w:type="spellEnd"/>
      <w:r>
        <w:t>, W. 2025. Explainability-Driven Quality Assessment for Rule-Based Systems. In Companion Proceedings of the ACM on Web Conference 2025, 2133–2140.</w:t>
      </w:r>
    </w:p>
    <w:p w14:paraId="634644E0" w14:textId="77777777" w:rsidR="009A0710" w:rsidRDefault="00000000">
      <w:r>
        <w:t>Shade, M.; Yan, C.; Jones, V. K.; and Boron, J. 2025. Evaluating older adults’ engagement and usability with AI-driven interventions: Randomized pilot study. JMIR Formative Research, 9: e64763.</w:t>
      </w:r>
    </w:p>
    <w:p w14:paraId="19CD3D30" w14:textId="77777777" w:rsidR="009A0710" w:rsidRDefault="00000000">
      <w:r>
        <w:t>Shandilya, E.; and Fan, M. 2022. Understanding older adults’ perceptions and challenges in using AI-enabled everyday technologies. In Proceedings of the Tenth International Symposium of Chinese CHI, 105–116.</w:t>
      </w:r>
    </w:p>
    <w:p w14:paraId="71B11EEB" w14:textId="77777777" w:rsidR="009A0710" w:rsidRDefault="00000000">
      <w:proofErr w:type="spellStart"/>
      <w:r>
        <w:t>Sheu</w:t>
      </w:r>
      <w:proofErr w:type="spellEnd"/>
      <w:r>
        <w:t xml:space="preserve">, R.-K.; and </w:t>
      </w:r>
      <w:proofErr w:type="spellStart"/>
      <w:r>
        <w:t>Pardeshi</w:t>
      </w:r>
      <w:proofErr w:type="spellEnd"/>
      <w:r>
        <w:t>, M. S. 2022. A survey on medical explainable AI (XAI): recent progress, explainability approach, human interaction and scoring system. Sensors, 22(20): 8068.</w:t>
      </w:r>
    </w:p>
    <w:p w14:paraId="32FC1E53" w14:textId="77777777" w:rsidR="009A0710" w:rsidRDefault="00000000">
      <w:proofErr w:type="spellStart"/>
      <w:r>
        <w:t>Shiwani</w:t>
      </w:r>
      <w:proofErr w:type="spellEnd"/>
      <w:r>
        <w:t xml:space="preserve">, T.; </w:t>
      </w:r>
      <w:proofErr w:type="spellStart"/>
      <w:r>
        <w:t>Relton</w:t>
      </w:r>
      <w:proofErr w:type="spellEnd"/>
      <w:r>
        <w:t>, S.; Evans, R.; Kale, A.; Heaven, A.; Clegg, A.; and Todd, O. 2023. New Horizons in artificial intelligence in the healthcare of older people. Age and Ageing, 52(12): afad219.</w:t>
      </w:r>
    </w:p>
    <w:p w14:paraId="0D2420DC" w14:textId="77777777" w:rsidR="009A0710" w:rsidRDefault="00000000">
      <w:r>
        <w:lastRenderedPageBreak/>
        <w:t xml:space="preserve">Singh, D.; </w:t>
      </w:r>
      <w:proofErr w:type="spellStart"/>
      <w:r>
        <w:t>Kropf</w:t>
      </w:r>
      <w:proofErr w:type="spellEnd"/>
      <w:r>
        <w:t xml:space="preserve">, J.; Hanke, S.; and </w:t>
      </w:r>
      <w:proofErr w:type="spellStart"/>
      <w:r>
        <w:t>Holzinger</w:t>
      </w:r>
      <w:proofErr w:type="spellEnd"/>
      <w:r>
        <w:t>, A. 2017. Ambient assisted living technologies from the perspectives of older people and professionals. In International Cross-Domain Conference for Machine Learning and Knowledge Extraction, 255–266. Springer.</w:t>
      </w:r>
    </w:p>
    <w:p w14:paraId="3E0D4F12" w14:textId="77777777" w:rsidR="009A0710" w:rsidRDefault="00000000">
      <w:r>
        <w:t xml:space="preserve">Slack, D.; Krishna, S.; </w:t>
      </w:r>
      <w:proofErr w:type="spellStart"/>
      <w:r>
        <w:t>Lakkaraju</w:t>
      </w:r>
      <w:proofErr w:type="spellEnd"/>
      <w:r>
        <w:t xml:space="preserve">, H.; and Singh, S. 2023. Explaining machine learning models with interactive natural language conversations using </w:t>
      </w:r>
      <w:proofErr w:type="spellStart"/>
      <w:r>
        <w:t>TalkToModel</w:t>
      </w:r>
      <w:proofErr w:type="spellEnd"/>
      <w:r>
        <w:t xml:space="preserve">. Nature Machine Intelligence, 5(8): 873–883. </w:t>
      </w:r>
    </w:p>
    <w:p w14:paraId="1F9F3364" w14:textId="77777777" w:rsidR="009A0710" w:rsidRDefault="00000000">
      <w:proofErr w:type="spellStart"/>
      <w:r>
        <w:t>Statistiek</w:t>
      </w:r>
      <w:proofErr w:type="spellEnd"/>
      <w:r>
        <w:t xml:space="preserve"> </w:t>
      </w:r>
      <w:proofErr w:type="spellStart"/>
      <w:r>
        <w:t>Vlaanderen</w:t>
      </w:r>
      <w:proofErr w:type="spellEnd"/>
      <w:r>
        <w:t>. 2026.</w:t>
      </w:r>
    </w:p>
    <w:p w14:paraId="3983529A" w14:textId="77777777" w:rsidR="009A0710" w:rsidRDefault="00000000">
      <w:r>
        <w:t xml:space="preserve">Stavropoulos, T. G.; </w:t>
      </w:r>
      <w:proofErr w:type="spellStart"/>
      <w:r>
        <w:t>Papastergiou</w:t>
      </w:r>
      <w:proofErr w:type="spellEnd"/>
      <w:r>
        <w:t xml:space="preserve">, A.; </w:t>
      </w:r>
      <w:proofErr w:type="spellStart"/>
      <w:r>
        <w:t>Mpaltadoros</w:t>
      </w:r>
      <w:proofErr w:type="spellEnd"/>
      <w:r>
        <w:t xml:space="preserve">, L.; Nikolopoulos, S.; and </w:t>
      </w:r>
      <w:proofErr w:type="spellStart"/>
      <w:r>
        <w:t>Kompatsiaris</w:t>
      </w:r>
      <w:proofErr w:type="spellEnd"/>
      <w:r>
        <w:t>, I. 2020. IoT wearable sensors and devices in elderly care: A literature review. Sensors, 20(10): 2826.</w:t>
      </w:r>
    </w:p>
    <w:p w14:paraId="7E04BE86" w14:textId="77777777" w:rsidR="009A0710" w:rsidRDefault="00000000">
      <w:proofErr w:type="spellStart"/>
      <w:r>
        <w:t>Stichting</w:t>
      </w:r>
      <w:proofErr w:type="spellEnd"/>
      <w:r>
        <w:t xml:space="preserve"> Alzheimer </w:t>
      </w:r>
      <w:proofErr w:type="spellStart"/>
      <w:r>
        <w:t>Onderzoek</w:t>
      </w:r>
      <w:proofErr w:type="spellEnd"/>
      <w:r>
        <w:t xml:space="preserve">. </w:t>
      </w:r>
    </w:p>
    <w:p w14:paraId="170E200E" w14:textId="77777777" w:rsidR="009A0710" w:rsidRDefault="00000000">
      <w:r>
        <w:t xml:space="preserve">Szymanski, M.; </w:t>
      </w:r>
      <w:proofErr w:type="spellStart"/>
      <w:r>
        <w:t>Verbert</w:t>
      </w:r>
      <w:proofErr w:type="spellEnd"/>
      <w:r>
        <w:t xml:space="preserve">, K.; and Vanden </w:t>
      </w:r>
      <w:proofErr w:type="spellStart"/>
      <w:r>
        <w:t>Abeele</w:t>
      </w:r>
      <w:proofErr w:type="spellEnd"/>
      <w:r>
        <w:t>, V. 2022. Designing and evaluating explainable AI for non-AI experts: challenges and opportunities. In Proceedings of the 16th ACM Conference on Recommender Systems, 735–736.</w:t>
      </w:r>
    </w:p>
    <w:p w14:paraId="13F078DA" w14:textId="77777777" w:rsidR="009A0710" w:rsidRDefault="00000000">
      <w:r>
        <w:t xml:space="preserve">Takano, E.; Maruyama, H.; Takahashi, T.; Mori, K.; </w:t>
      </w:r>
      <w:proofErr w:type="spellStart"/>
      <w:r>
        <w:t>Nishiyori</w:t>
      </w:r>
      <w:proofErr w:type="spellEnd"/>
      <w:r>
        <w:t>, K.; Morita, Y.; Fukuda, T.; Kondo, I.; and Ishibashi, Y. 2023. User experience of older people while using digital health technologies: a systematic review. Applied Sciences, 13(23): 12815.</w:t>
      </w:r>
    </w:p>
    <w:p w14:paraId="0B590CC7" w14:textId="77777777" w:rsidR="009A0710" w:rsidRDefault="00000000">
      <w:proofErr w:type="spellStart"/>
      <w:r>
        <w:t>Tawalbeh</w:t>
      </w:r>
      <w:proofErr w:type="spellEnd"/>
      <w:r>
        <w:t xml:space="preserve">, L.; </w:t>
      </w:r>
      <w:proofErr w:type="spellStart"/>
      <w:r>
        <w:t>Muheidat</w:t>
      </w:r>
      <w:proofErr w:type="spellEnd"/>
      <w:r>
        <w:t xml:space="preserve">, F.; </w:t>
      </w:r>
      <w:proofErr w:type="spellStart"/>
      <w:r>
        <w:t>Tawalbeh</w:t>
      </w:r>
      <w:proofErr w:type="spellEnd"/>
      <w:r>
        <w:t xml:space="preserve">, M.; and </w:t>
      </w:r>
      <w:proofErr w:type="spellStart"/>
      <w:r>
        <w:t>Quwaider</w:t>
      </w:r>
      <w:proofErr w:type="spellEnd"/>
      <w:r>
        <w:t>, M. 2020. IoT Privacy and security: Challenges and solutions. Applied sciences, 10(12): 4102.</w:t>
      </w:r>
    </w:p>
    <w:p w14:paraId="724BF001" w14:textId="77777777" w:rsidR="009A0710" w:rsidRDefault="00000000">
      <w:proofErr w:type="spellStart"/>
      <w:r>
        <w:t>Teso</w:t>
      </w:r>
      <w:proofErr w:type="spellEnd"/>
      <w:r>
        <w:t xml:space="preserve">, S.; and </w:t>
      </w:r>
      <w:proofErr w:type="spellStart"/>
      <w:r>
        <w:t>Kersting</w:t>
      </w:r>
      <w:proofErr w:type="spellEnd"/>
      <w:r>
        <w:t>, K. 2019. Explanatory interactive machine learning. In Proceedings of the 2019 AAAI/ACM Conference on AI, Ethics, and Society, 239–245.</w:t>
      </w:r>
    </w:p>
    <w:p w14:paraId="66433BAA" w14:textId="77777777" w:rsidR="009A0710" w:rsidRDefault="00000000">
      <w:proofErr w:type="spellStart"/>
      <w:r>
        <w:t>Tintarev</w:t>
      </w:r>
      <w:proofErr w:type="spellEnd"/>
      <w:r>
        <w:t xml:space="preserve">, N.; and </w:t>
      </w:r>
      <w:proofErr w:type="spellStart"/>
      <w:r>
        <w:t>Masthoff</w:t>
      </w:r>
      <w:proofErr w:type="spellEnd"/>
      <w:r>
        <w:t xml:space="preserve">, J. 2012. Evaluating the effectiveness of explanations for recommender systems: Methodological issues and empirical studies on the impact of personalization. User </w:t>
      </w:r>
      <w:proofErr w:type="spellStart"/>
      <w:r>
        <w:t>Modeling</w:t>
      </w:r>
      <w:proofErr w:type="spellEnd"/>
      <w:r>
        <w:t xml:space="preserve"> and User-Adapted Interaction, 22(4): 399–439.</w:t>
      </w:r>
    </w:p>
    <w:p w14:paraId="3C54D8C7" w14:textId="77777777" w:rsidR="009A0710" w:rsidRDefault="00000000">
      <w:r>
        <w:t xml:space="preserve">Tucci, V.; </w:t>
      </w:r>
      <w:proofErr w:type="spellStart"/>
      <w:r>
        <w:t>Saary</w:t>
      </w:r>
      <w:proofErr w:type="spellEnd"/>
      <w:r>
        <w:t>, J.; and Doyle, T. E. 2022. Factors influencing trust in medical artificial intelligence for healthcare professionals: a narrative review. Journal of Medical Artificial Intelligence, 5.</w:t>
      </w:r>
    </w:p>
    <w:p w14:paraId="1E0D12FA" w14:textId="77777777" w:rsidR="009A0710" w:rsidRDefault="00000000">
      <w:proofErr w:type="spellStart"/>
      <w:r>
        <w:t>Valtolina</w:t>
      </w:r>
      <w:proofErr w:type="spellEnd"/>
      <w:r>
        <w:t xml:space="preserve">, S.; </w:t>
      </w:r>
      <w:proofErr w:type="spellStart"/>
      <w:r>
        <w:t>Zanotti</w:t>
      </w:r>
      <w:proofErr w:type="spellEnd"/>
      <w:r>
        <w:t xml:space="preserve">, P.; and </w:t>
      </w:r>
      <w:proofErr w:type="spellStart"/>
      <w:r>
        <w:t>Mandelli</w:t>
      </w:r>
      <w:proofErr w:type="spellEnd"/>
      <w:r>
        <w:t>, S. 2024. Designing Conversational Agents to Empower Active Aging. In Proceedings of the 24th ACM International Conference on Intelligent Virtual Agents, 1–4.</w:t>
      </w:r>
    </w:p>
    <w:p w14:paraId="769DBBA3" w14:textId="77777777" w:rsidR="009A0710" w:rsidRDefault="00000000">
      <w:r>
        <w:t xml:space="preserve">van </w:t>
      </w:r>
      <w:proofErr w:type="spellStart"/>
      <w:r>
        <w:t>Leersum</w:t>
      </w:r>
      <w:proofErr w:type="spellEnd"/>
      <w:r>
        <w:t xml:space="preserve">, C. M.; and </w:t>
      </w:r>
      <w:proofErr w:type="spellStart"/>
      <w:r>
        <w:t>Peine</w:t>
      </w:r>
      <w:proofErr w:type="spellEnd"/>
      <w:r>
        <w:t>, A. 2026. Only practical knowledge or knowing the algorithm? Notions and necessities of explainable artificial intelligence in long-term care. AI &amp; SOCIETY, 41(2): 1189–1206.</w:t>
      </w:r>
    </w:p>
    <w:p w14:paraId="1C344C9C" w14:textId="77777777" w:rsidR="009A0710" w:rsidRDefault="00000000">
      <w:proofErr w:type="spellStart"/>
      <w:r>
        <w:lastRenderedPageBreak/>
        <w:t>Wilczewski</w:t>
      </w:r>
      <w:proofErr w:type="spellEnd"/>
      <w:r>
        <w:t>, H.; Soni, H.; Ivanova, J.; Ong, T.; Barrera, J. F.; Bunnell, B. E.; and Welch, B. M. 2023. Older adults’ experience with virtual conversational agents for health data collection. Frontiers in Digital Health, 5: 1125926.</w:t>
      </w:r>
    </w:p>
    <w:p w14:paraId="1D6BC1D5" w14:textId="77777777" w:rsidR="009A0710" w:rsidRDefault="00000000">
      <w:r>
        <w:t>Wong, A. K. C.; Lee, J. H. T.; Zhao, Y.; Lu, Q.; Yang, S.; and Hui, V. C. C. 2025. Exploring older adults’ perspectives and acceptance of AI-driven health technologies: qualitative study. JMIR aging, 8: e66778.</w:t>
      </w:r>
    </w:p>
    <w:p w14:paraId="49F7D4F5" w14:textId="77777777" w:rsidR="009A0710" w:rsidRDefault="00000000">
      <w:r>
        <w:t>Xia, Z.; Xu, J.; Zhang, Y.; and Liu, H. 2025. A survey of uncertainty estimation methods on large language models. In Findings of the Association for Computational Linguistics: ACL 2025, 21381–21396.</w:t>
      </w:r>
    </w:p>
    <w:p w14:paraId="43B186E8" w14:textId="77777777" w:rsidR="009A0710" w:rsidRDefault="00000000">
      <w:proofErr w:type="spellStart"/>
      <w:r>
        <w:t>Yacchirema</w:t>
      </w:r>
      <w:proofErr w:type="spellEnd"/>
      <w:r>
        <w:t xml:space="preserve">, D.; De </w:t>
      </w:r>
      <w:proofErr w:type="spellStart"/>
      <w:r>
        <w:t>Puga</w:t>
      </w:r>
      <w:proofErr w:type="spellEnd"/>
      <w:r>
        <w:t xml:space="preserve">, J. S.; Palau, C.; and </w:t>
      </w:r>
      <w:proofErr w:type="spellStart"/>
      <w:r>
        <w:t>Esteve</w:t>
      </w:r>
      <w:proofErr w:type="spellEnd"/>
      <w:r>
        <w:t xml:space="preserve">, M. 2018. Fall detection system for elderly people using IoT and big data. Procedia computer science, 130: 603–610. </w:t>
      </w:r>
    </w:p>
    <w:p w14:paraId="0C914C33" w14:textId="77777777" w:rsidR="009A0710" w:rsidRDefault="00000000">
      <w:r>
        <w:t xml:space="preserve">Yang, Y.; </w:t>
      </w:r>
      <w:proofErr w:type="spellStart"/>
      <w:r>
        <w:t>Kandogan</w:t>
      </w:r>
      <w:proofErr w:type="spellEnd"/>
      <w:r>
        <w:t xml:space="preserve">, E.; Li, Y.; Sen, P.; and </w:t>
      </w:r>
      <w:proofErr w:type="spellStart"/>
      <w:r>
        <w:t>Lasecki</w:t>
      </w:r>
      <w:proofErr w:type="spellEnd"/>
      <w:r>
        <w:t>, W. S. 2019. A Study on Interaction in Human-in-the-Loop Machine Learning for Text Analytics. In IUI workshops, volume 11, 665–670.</w:t>
      </w:r>
    </w:p>
    <w:p w14:paraId="3D24F2CE" w14:textId="77777777" w:rsidR="009A0710" w:rsidRDefault="00000000">
      <w:r>
        <w:t xml:space="preserve">Zhang, T.; Yang, X. J.; and Li, B. 2025. May </w:t>
      </w:r>
      <w:proofErr w:type="spellStart"/>
      <w:r>
        <w:t>i</w:t>
      </w:r>
      <w:proofErr w:type="spellEnd"/>
      <w:r>
        <w:t xml:space="preserve"> ask a follow-up question? understanding the benefits of conversations in neural network explainability. International Journal of Human–Computer Interaction, 41(9): 5623–5647.</w:t>
      </w:r>
    </w:p>
    <w:p w14:paraId="4D839E1B" w14:textId="77777777" w:rsidR="009A0710" w:rsidRDefault="00000000">
      <w:r>
        <w:t xml:space="preserve">Zheng, C.; Zhou, H.; Meng, F.; Zhou, J.; and Huang, M. 2024. Large language models are not robust </w:t>
      </w:r>
      <w:proofErr w:type="gramStart"/>
      <w:r>
        <w:t>multiple choice</w:t>
      </w:r>
      <w:proofErr w:type="gramEnd"/>
      <w:r>
        <w:t xml:space="preserve"> selectors. In International Conference on Learning Representations, volume 2024, 19426–19454.</w:t>
      </w:r>
    </w:p>
    <w:sectPr w:rsidR="009A0710">
      <w:headerReference w:type="default" r:id="rId12"/>
      <w:pgSz w:w="11909" w:h="16834"/>
      <w:pgMar w:top="1440" w:right="1419"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FC3977" w14:textId="77777777" w:rsidR="00A2766E" w:rsidRDefault="00A2766E">
      <w:pPr>
        <w:spacing w:after="0" w:line="240" w:lineRule="auto"/>
      </w:pPr>
      <w:r>
        <w:separator/>
      </w:r>
    </w:p>
  </w:endnote>
  <w:endnote w:type="continuationSeparator" w:id="0">
    <w:p w14:paraId="4874BF61" w14:textId="77777777" w:rsidR="00A2766E" w:rsidRDefault="00A27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embedRegular r:id="rId1" w:fontKey="{F2CD0B3D-535D-F342-AECD-0512D47A46CF}"/>
  </w:font>
  <w:font w:name="Aptos">
    <w:panose1 w:val="020B0004020202020204"/>
    <w:charset w:val="00"/>
    <w:family w:val="swiss"/>
    <w:pitch w:val="variable"/>
    <w:sig w:usb0="20000287" w:usb1="00000003" w:usb2="00000000" w:usb3="00000000" w:csb0="0000019F" w:csb1="00000000"/>
    <w:embedRegular r:id="rId2" w:fontKey="{3469FC3D-E76B-4F44-B6E3-340387039601}"/>
    <w:embedBold r:id="rId3" w:fontKey="{5249FF34-D350-F548-BF45-B2E83B7C7432}"/>
    <w:embedItalic r:id="rId4" w:fontKey="{D2A213F1-98D5-C54E-8016-25430C3A4784}"/>
    <w:embedBoldItalic r:id="rId5" w:fontKey="{5313B330-28E4-974A-A0CD-F382BD534DEF}"/>
  </w:font>
  <w:font w:name="Cambria">
    <w:panose1 w:val="02040503050406030204"/>
    <w:charset w:val="00"/>
    <w:family w:val="roman"/>
    <w:pitch w:val="variable"/>
    <w:sig w:usb0="E00002FF" w:usb1="400004FF" w:usb2="00000000" w:usb3="00000000" w:csb0="0000019F" w:csb1="00000000"/>
    <w:embedRegular r:id="rId6" w:fontKey="{3B168D25-41D3-7F4A-B2D6-1149CA806B33}"/>
  </w:font>
  <w:font w:name="Arial">
    <w:panose1 w:val="020B0604020202020204"/>
    <w:charset w:val="00"/>
    <w:family w:val="swiss"/>
    <w:pitch w:val="variable"/>
    <w:sig w:usb0="E0002AFF" w:usb1="C0007843" w:usb2="00000009" w:usb3="00000000" w:csb0="000001FF" w:csb1="00000000"/>
    <w:embedBold r:id="rId7" w:fontKey="{B4B17F00-EC3B-014B-BC06-64A345258DBD}"/>
  </w:font>
  <w:font w:name="Calibri">
    <w:panose1 w:val="020F0502020204030204"/>
    <w:charset w:val="00"/>
    <w:family w:val="swiss"/>
    <w:pitch w:val="variable"/>
    <w:sig w:usb0="E0002AFF" w:usb1="C000247B" w:usb2="00000009" w:usb3="00000000" w:csb0="000001FF" w:csb1="00000000"/>
    <w:embedRegular r:id="rId8" w:fontKey="{9CE64098-034B-B542-9E88-CCBD6958713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F6E4CD" w14:textId="77777777" w:rsidR="00A2766E" w:rsidRDefault="00A2766E">
      <w:pPr>
        <w:spacing w:after="0" w:line="240" w:lineRule="auto"/>
      </w:pPr>
      <w:r>
        <w:separator/>
      </w:r>
    </w:p>
  </w:footnote>
  <w:footnote w:type="continuationSeparator" w:id="0">
    <w:p w14:paraId="302286A3" w14:textId="77777777" w:rsidR="00A2766E" w:rsidRDefault="00A276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9990C" w14:textId="77777777" w:rsidR="009A0710" w:rsidRDefault="00000000">
    <w:r>
      <w:rPr>
        <w:noProof/>
      </w:rPr>
      <w:drawing>
        <wp:inline distT="114300" distB="114300" distL="114300" distR="114300" wp14:anchorId="44045541" wp14:editId="75477F0B">
          <wp:extent cx="2586038" cy="743387"/>
          <wp:effectExtent l="0" t="0" r="0" b="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20583" t="20556" r="-20583" b="-20556"/>
                  <a:stretch>
                    <a:fillRect/>
                  </a:stretch>
                </pic:blipFill>
                <pic:spPr>
                  <a:xfrm>
                    <a:off x="0" y="0"/>
                    <a:ext cx="2586038" cy="74338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E97EC6"/>
    <w:multiLevelType w:val="multilevel"/>
    <w:tmpl w:val="AC4C77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62F6298"/>
    <w:multiLevelType w:val="multilevel"/>
    <w:tmpl w:val="55AE8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41107567">
    <w:abstractNumId w:val="0"/>
  </w:num>
  <w:num w:numId="2" w16cid:durableId="2105497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710"/>
    <w:rsid w:val="00250139"/>
    <w:rsid w:val="002C2BAB"/>
    <w:rsid w:val="00331485"/>
    <w:rsid w:val="009A0710"/>
    <w:rsid w:val="00A276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9A02A7B"/>
  <w15:docId w15:val="{6BAD3138-5316-7048-8146-C7E6E812C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ptos"/>
        <w:sz w:val="22"/>
        <w:szCs w:val="22"/>
        <w:lang w:val="en-GB" w:eastAsia="en-GB" w:bidi="ar-SA"/>
      </w:rPr>
    </w:rPrDefault>
    <w:pPrDefault>
      <w:pPr>
        <w:spacing w:after="24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ind w:left="432"/>
      <w:outlineLvl w:val="0"/>
    </w:pPr>
    <w:rPr>
      <w:sz w:val="40"/>
      <w:szCs w:val="40"/>
    </w:rPr>
  </w:style>
  <w:style w:type="paragraph" w:styleId="Heading2">
    <w:name w:val="heading 2"/>
    <w:basedOn w:val="Normal"/>
    <w:next w:val="Normal"/>
    <w:uiPriority w:val="9"/>
    <w:unhideWhenUsed/>
    <w:qFormat/>
    <w:pPr>
      <w:keepNext/>
      <w:keepLines/>
      <w:spacing w:before="360" w:after="120"/>
      <w:ind w:left="576" w:hanging="576"/>
      <w:outlineLvl w:val="1"/>
    </w:pPr>
    <w:rPr>
      <w:sz w:val="32"/>
      <w:szCs w:val="32"/>
    </w:rPr>
  </w:style>
  <w:style w:type="paragraph" w:styleId="Heading3">
    <w:name w:val="heading 3"/>
    <w:basedOn w:val="Normal"/>
    <w:next w:val="Normal"/>
    <w:uiPriority w:val="9"/>
    <w:unhideWhenUsed/>
    <w:qFormat/>
    <w:pPr>
      <w:keepNext/>
      <w:keepLines/>
      <w:spacing w:before="320" w:after="80"/>
      <w:ind w:left="720" w:hanging="72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ind w:left="864" w:hanging="864"/>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ind w:left="1008" w:hanging="1008"/>
      <w:outlineLvl w:val="4"/>
    </w:pPr>
    <w:rPr>
      <w:color w:val="666666"/>
    </w:rPr>
  </w:style>
  <w:style w:type="paragraph" w:styleId="Heading6">
    <w:name w:val="heading 6"/>
    <w:basedOn w:val="Normal"/>
    <w:next w:val="Normal"/>
    <w:uiPriority w:val="9"/>
    <w:semiHidden/>
    <w:unhideWhenUsed/>
    <w:qFormat/>
    <w:pPr>
      <w:keepNext/>
      <w:keepLines/>
      <w:spacing w:before="240" w:after="80"/>
      <w:ind w:left="1152" w:hanging="1152"/>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2"/>
    <w:tblPr>
      <w:tblStyleRowBandSize w:val="1"/>
      <w:tblStyleColBandSize w:val="1"/>
    </w:tblPr>
  </w:style>
  <w:style w:type="table" w:customStyle="1" w:styleId="a0">
    <w:basedOn w:val="TableNormal2"/>
    <w:tblPr>
      <w:tblStyleRowBandSize w:val="1"/>
      <w:tblStyleColBandSize w:val="1"/>
    </w:tblPr>
  </w:style>
  <w:style w:type="table" w:customStyle="1" w:styleId="a1">
    <w:basedOn w:val="TableNormal2"/>
    <w:tblPr>
      <w:tblStyleRowBandSize w:val="1"/>
      <w:tblStyleColBandSize w:val="1"/>
    </w:tblPr>
  </w:style>
  <w:style w:type="table" w:customStyle="1" w:styleId="a2">
    <w:basedOn w:val="TableNormal2"/>
    <w:tblPr>
      <w:tblStyleRowBandSize w:val="1"/>
      <w:tblStyleColBandSize w:val="1"/>
    </w:tblPr>
  </w:style>
  <w:style w:type="table" w:customStyle="1" w:styleId="a3">
    <w:basedOn w:val="TableNormal2"/>
    <w:tblPr>
      <w:tblStyleRowBandSize w:val="1"/>
      <w:tblStyleColBandSize w:val="1"/>
    </w:tblPr>
  </w:style>
  <w:style w:type="table" w:customStyle="1" w:styleId="a4">
    <w:basedOn w:val="TableNormal2"/>
    <w:tblPr>
      <w:tblStyleRowBandSize w:val="1"/>
      <w:tblStyleColBandSize w:val="1"/>
    </w:tblPr>
  </w:style>
  <w:style w:type="table" w:customStyle="1" w:styleId="a5">
    <w:basedOn w:val="TableNormal2"/>
    <w:tblPr>
      <w:tblStyleRowBandSize w:val="1"/>
      <w:tblStyleColBandSize w:val="1"/>
    </w:tblPr>
  </w:style>
  <w:style w:type="table" w:customStyle="1" w:styleId="a6">
    <w:basedOn w:val="TableNormal2"/>
    <w:tblPr>
      <w:tblStyleRowBandSize w:val="1"/>
      <w:tblStyleColBandSize w:val="1"/>
    </w:tblPr>
  </w:style>
  <w:style w:type="table" w:customStyle="1" w:styleId="a7">
    <w:basedOn w:val="TableNormal2"/>
    <w:tblPr>
      <w:tblStyleRowBandSize w:val="1"/>
      <w:tblStyleColBandSize w:val="1"/>
    </w:tblPr>
  </w:style>
  <w:style w:type="table" w:customStyle="1" w:styleId="a8">
    <w:basedOn w:val="TableNormal2"/>
    <w:pPr>
      <w:spacing w:line="240" w:lineRule="auto"/>
    </w:pPr>
    <w:rPr>
      <w:rFonts w:ascii="Cambria" w:eastAsia="Cambria" w:hAnsi="Cambria" w:cs="Cambria"/>
      <w:sz w:val="24"/>
      <w:szCs w:val="24"/>
    </w:rPr>
    <w:tblPr>
      <w:tblStyleRowBandSize w:val="1"/>
      <w:tblStyleColBandSize w:val="1"/>
      <w:tblCellMar>
        <w:top w:w="0" w:type="dxa"/>
        <w:left w:w="108" w:type="dxa"/>
        <w:bottom w:w="0" w:type="dxa"/>
        <w:right w:w="108" w:type="dxa"/>
      </w:tblCellMar>
    </w:tblPr>
  </w:style>
  <w:style w:type="table" w:customStyle="1" w:styleId="a9">
    <w:basedOn w:val="TableNormal2"/>
    <w:pPr>
      <w:spacing w:line="240" w:lineRule="auto"/>
    </w:pPr>
    <w:rPr>
      <w:rFonts w:ascii="Cambria" w:eastAsia="Cambria" w:hAnsi="Cambria" w:cs="Cambria"/>
      <w:sz w:val="24"/>
      <w:szCs w:val="24"/>
    </w:rPr>
    <w:tblPr>
      <w:tblStyleRowBandSize w:val="1"/>
      <w:tblStyleColBandSize w:val="1"/>
      <w:tblCellMar>
        <w:top w:w="0" w:type="dxa"/>
        <w:left w:w="108" w:type="dxa"/>
        <w:bottom w:w="0" w:type="dxa"/>
        <w:right w:w="108" w:type="dxa"/>
      </w:tblCellMar>
    </w:tblPr>
  </w:style>
  <w:style w:type="table" w:customStyle="1" w:styleId="aa">
    <w:basedOn w:val="TableNormal2"/>
    <w:pPr>
      <w:spacing w:line="240" w:lineRule="auto"/>
    </w:pPr>
    <w:rPr>
      <w:rFonts w:ascii="Cambria" w:eastAsia="Cambria" w:hAnsi="Cambria" w:cs="Cambria"/>
      <w:sz w:val="24"/>
      <w:szCs w:val="24"/>
    </w:rPr>
    <w:tblPr>
      <w:tblStyleRowBandSize w:val="1"/>
      <w:tblStyleColBandSize w:val="1"/>
      <w:tblCellMar>
        <w:top w:w="0" w:type="dxa"/>
        <w:left w:w="108" w:type="dxa"/>
        <w:bottom w:w="0" w:type="dxa"/>
        <w:right w:w="108" w:type="dxa"/>
      </w:tblCellMar>
    </w:tblPr>
  </w:style>
  <w:style w:type="table" w:customStyle="1" w:styleId="ab">
    <w:basedOn w:val="TableNormal2"/>
    <w:pPr>
      <w:spacing w:line="240" w:lineRule="auto"/>
    </w:pPr>
    <w:rPr>
      <w:rFonts w:ascii="Cambria" w:eastAsia="Cambria" w:hAnsi="Cambria" w:cs="Cambria"/>
      <w:sz w:val="24"/>
      <w:szCs w:val="24"/>
    </w:rPr>
    <w:tblPr>
      <w:tblStyleRowBandSize w:val="1"/>
      <w:tblStyleColBandSize w:val="1"/>
      <w:tblCellMar>
        <w:top w:w="0" w:type="dxa"/>
        <w:left w:w="108" w:type="dxa"/>
        <w:bottom w:w="0" w:type="dxa"/>
        <w:right w:w="108" w:type="dxa"/>
      </w:tblCellMar>
    </w:tblPr>
  </w:style>
  <w:style w:type="table" w:customStyle="1" w:styleId="ac">
    <w:basedOn w:val="TableNormal2"/>
    <w:tblPr>
      <w:tblStyleRowBandSize w:val="1"/>
      <w:tblStyleColBandSize w:val="1"/>
    </w:tblPr>
  </w:style>
  <w:style w:type="table" w:customStyle="1" w:styleId="ad">
    <w:basedOn w:val="TableNormal2"/>
    <w:tblPr>
      <w:tblStyleRowBandSize w:val="1"/>
      <w:tblStyleColBandSize w:val="1"/>
    </w:tblPr>
  </w:style>
  <w:style w:type="table" w:customStyle="1" w:styleId="ae">
    <w:basedOn w:val="TableNormal2"/>
    <w:tblPr>
      <w:tblStyleRowBandSize w:val="1"/>
      <w:tblStyleColBandSize w:val="1"/>
    </w:tblPr>
  </w:style>
  <w:style w:type="table" w:customStyle="1" w:styleId="af">
    <w:basedOn w:val="TableNormal2"/>
    <w:tblPr>
      <w:tblStyleRowBandSize w:val="1"/>
      <w:tblStyleColBandSize w:val="1"/>
    </w:tblPr>
  </w:style>
  <w:style w:type="table" w:customStyle="1" w:styleId="af0">
    <w:basedOn w:val="TableNormal2"/>
    <w:tblPr>
      <w:tblStyleRowBandSize w:val="1"/>
      <w:tblStyleColBandSize w:val="1"/>
    </w:tblPr>
  </w:style>
  <w:style w:type="table" w:customStyle="1" w:styleId="af1">
    <w:basedOn w:val="TableNormal2"/>
    <w:tblPr>
      <w:tblStyleRowBandSize w:val="1"/>
      <w:tblStyleColBandSize w:val="1"/>
    </w:tblPr>
  </w:style>
  <w:style w:type="table" w:customStyle="1" w:styleId="af2">
    <w:basedOn w:val="TableNormal2"/>
    <w:tblPr>
      <w:tblStyleRowBandSize w:val="1"/>
      <w:tblStyleColBandSize w:val="1"/>
    </w:tblPr>
  </w:style>
  <w:style w:type="table" w:customStyle="1" w:styleId="af3">
    <w:basedOn w:val="TableNormal2"/>
    <w:tblPr>
      <w:tblStyleRowBandSize w:val="1"/>
      <w:tblStyleColBandSize w:val="1"/>
    </w:tblPr>
  </w:style>
  <w:style w:type="table" w:customStyle="1" w:styleId="af4">
    <w:basedOn w:val="TableNormal2"/>
    <w:tblPr>
      <w:tblStyleRowBandSize w:val="1"/>
      <w:tblStyleColBandSize w:val="1"/>
    </w:tblPr>
  </w:style>
  <w:style w:type="table" w:customStyle="1" w:styleId="af5">
    <w:basedOn w:val="TableNormal2"/>
    <w:tblPr>
      <w:tblStyleRowBandSize w:val="1"/>
      <w:tblStyleColBandSize w:val="1"/>
    </w:tblPr>
  </w:style>
  <w:style w:type="table" w:customStyle="1" w:styleId="af6">
    <w:basedOn w:val="TableNormal2"/>
    <w:pPr>
      <w:spacing w:line="240" w:lineRule="auto"/>
    </w:pPr>
    <w:rPr>
      <w:rFonts w:ascii="Cambria" w:eastAsia="Cambria" w:hAnsi="Cambria" w:cs="Cambria"/>
      <w:sz w:val="24"/>
      <w:szCs w:val="24"/>
    </w:rPr>
    <w:tblPr>
      <w:tblStyleRowBandSize w:val="1"/>
      <w:tblStyleColBandSize w:val="1"/>
      <w:tblCellMar>
        <w:top w:w="0" w:type="dxa"/>
        <w:left w:w="108" w:type="dxa"/>
        <w:bottom w:w="0" w:type="dxa"/>
        <w:right w:w="108" w:type="dxa"/>
      </w:tblCellMar>
    </w:tblPr>
  </w:style>
  <w:style w:type="table" w:customStyle="1" w:styleId="af7">
    <w:basedOn w:val="TableNormal2"/>
    <w:pPr>
      <w:spacing w:line="240" w:lineRule="auto"/>
    </w:pPr>
    <w:rPr>
      <w:rFonts w:ascii="Cambria" w:eastAsia="Cambria" w:hAnsi="Cambria" w:cs="Cambria"/>
      <w:sz w:val="24"/>
      <w:szCs w:val="24"/>
    </w:rPr>
    <w:tblPr>
      <w:tblStyleRowBandSize w:val="1"/>
      <w:tblStyleColBandSize w:val="1"/>
      <w:tblCellMar>
        <w:top w:w="0" w:type="dxa"/>
        <w:left w:w="108" w:type="dxa"/>
        <w:bottom w:w="0" w:type="dxa"/>
        <w:right w:w="108" w:type="dxa"/>
      </w:tblCellMar>
    </w:tblPr>
  </w:style>
  <w:style w:type="table" w:customStyle="1" w:styleId="af8">
    <w:basedOn w:val="TableNormal2"/>
    <w:pPr>
      <w:spacing w:line="240" w:lineRule="auto"/>
    </w:pPr>
    <w:rPr>
      <w:rFonts w:ascii="Cambria" w:eastAsia="Cambria" w:hAnsi="Cambria" w:cs="Cambria"/>
      <w:sz w:val="24"/>
      <w:szCs w:val="24"/>
    </w:rPr>
    <w:tblPr>
      <w:tblStyleRowBandSize w:val="1"/>
      <w:tblStyleColBandSize w:val="1"/>
      <w:tblCellMar>
        <w:top w:w="0" w:type="dxa"/>
        <w:left w:w="108" w:type="dxa"/>
        <w:bottom w:w="0" w:type="dxa"/>
        <w:right w:w="108" w:type="dxa"/>
      </w:tblCellMar>
    </w:tblPr>
  </w:style>
  <w:style w:type="table" w:customStyle="1" w:styleId="af9">
    <w:basedOn w:val="TableNormal2"/>
    <w:pPr>
      <w:spacing w:line="240" w:lineRule="auto"/>
    </w:pPr>
    <w:rPr>
      <w:rFonts w:ascii="Cambria" w:eastAsia="Cambria" w:hAnsi="Cambria" w:cs="Cambria"/>
      <w:sz w:val="24"/>
      <w:szCs w:val="24"/>
    </w:rPr>
    <w:tblPr>
      <w:tblStyleRowBandSize w:val="1"/>
      <w:tblStyleColBandSize w:val="1"/>
      <w:tblCellMar>
        <w:top w:w="0" w:type="dxa"/>
        <w:left w:w="108" w:type="dxa"/>
        <w:bottom w:w="0" w:type="dxa"/>
        <w:right w:w="108" w:type="dxa"/>
      </w:tblCellMar>
    </w:tblPr>
  </w:style>
  <w:style w:type="table" w:customStyle="1" w:styleId="afa">
    <w:basedOn w:val="TableNormal2"/>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9E1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fb">
    <w:basedOn w:val="TableNormal1"/>
    <w:tblPr>
      <w:tblStyleRowBandSize w:val="1"/>
      <w:tblStyleColBandSize w:val="1"/>
    </w:tblPr>
  </w:style>
  <w:style w:type="table" w:customStyle="1" w:styleId="afc">
    <w:basedOn w:val="TableNormal1"/>
    <w:tblPr>
      <w:tblStyleRowBandSize w:val="1"/>
      <w:tblStyleColBandSize w:val="1"/>
    </w:tblPr>
  </w:style>
  <w:style w:type="table" w:customStyle="1" w:styleId="afd">
    <w:basedOn w:val="TableNormal1"/>
    <w:tblPr>
      <w:tblStyleRowBandSize w:val="1"/>
      <w:tblStyleColBandSize w:val="1"/>
    </w:tblPr>
  </w:style>
  <w:style w:type="table" w:customStyle="1" w:styleId="afe">
    <w:basedOn w:val="TableNormal1"/>
    <w:tblPr>
      <w:tblStyleRowBandSize w:val="1"/>
      <w:tblStyleColBandSize w:val="1"/>
    </w:tblPr>
  </w:style>
  <w:style w:type="table" w:customStyle="1" w:styleId="aff">
    <w:basedOn w:val="TableNormal1"/>
    <w:tblPr>
      <w:tblStyleRowBandSize w:val="1"/>
      <w:tblStyleColBandSize w:val="1"/>
    </w:tblPr>
  </w:style>
  <w:style w:type="table" w:customStyle="1" w:styleId="aff0">
    <w:basedOn w:val="TableNormal1"/>
    <w:tblPr>
      <w:tblStyleRowBandSize w:val="1"/>
      <w:tblStyleColBandSize w:val="1"/>
    </w:tblPr>
  </w:style>
  <w:style w:type="table" w:customStyle="1" w:styleId="aff1">
    <w:basedOn w:val="TableNormal1"/>
    <w:tblPr>
      <w:tblStyleRowBandSize w:val="1"/>
      <w:tblStyleColBandSize w:val="1"/>
    </w:tblPr>
  </w:style>
  <w:style w:type="table" w:customStyle="1" w:styleId="aff2">
    <w:basedOn w:val="TableNormal1"/>
    <w:tblPr>
      <w:tblStyleRowBandSize w:val="1"/>
      <w:tblStyleColBandSize w:val="1"/>
    </w:tblPr>
  </w:style>
  <w:style w:type="table" w:customStyle="1" w:styleId="aff3">
    <w:basedOn w:val="TableNormal1"/>
    <w:tblPr>
      <w:tblStyleRowBandSize w:val="1"/>
      <w:tblStyleColBandSize w:val="1"/>
    </w:tblPr>
  </w:style>
  <w:style w:type="table" w:customStyle="1" w:styleId="aff4">
    <w:basedOn w:val="TableNormal1"/>
    <w:tblPr>
      <w:tblStyleRowBandSize w:val="1"/>
      <w:tblStyleColBandSize w:val="1"/>
    </w:tblPr>
  </w:style>
  <w:style w:type="paragraph" w:styleId="TOC1">
    <w:name w:val="toc 1"/>
    <w:basedOn w:val="Normal"/>
    <w:next w:val="Normal"/>
    <w:autoRedefine/>
    <w:uiPriority w:val="39"/>
    <w:unhideWhenUsed/>
    <w:rsid w:val="002C2BAB"/>
    <w:pPr>
      <w:spacing w:after="100"/>
    </w:pPr>
  </w:style>
  <w:style w:type="paragraph" w:styleId="TOC2">
    <w:name w:val="toc 2"/>
    <w:basedOn w:val="Normal"/>
    <w:next w:val="Normal"/>
    <w:autoRedefine/>
    <w:uiPriority w:val="39"/>
    <w:unhideWhenUsed/>
    <w:rsid w:val="002C2BAB"/>
    <w:pPr>
      <w:spacing w:after="100"/>
      <w:ind w:left="220"/>
    </w:pPr>
  </w:style>
  <w:style w:type="character" w:styleId="Hyperlink">
    <w:name w:val="Hyperlink"/>
    <w:basedOn w:val="DefaultParagraphFont"/>
    <w:uiPriority w:val="99"/>
    <w:unhideWhenUsed/>
    <w:rsid w:val="002C2B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res.onlinelibrary.wiley.com/doi/10.1002/widm.70069" TargetMode="External"/><Relationship Id="rId5" Type="http://schemas.openxmlformats.org/officeDocument/2006/relationships/webSettings" Target="webSettings.xml"/><Relationship Id="rId10" Type="http://schemas.openxmlformats.org/officeDocument/2006/relationships/hyperlink" Target="https://www.nature.com/articles/s41598-026-45272-z" TargetMode="External"/><Relationship Id="rId4" Type="http://schemas.openxmlformats.org/officeDocument/2006/relationships/settings" Target="settings.xml"/><Relationship Id="rId9" Type="http://schemas.openxmlformats.org/officeDocument/2006/relationships/hyperlink" Target="https://hogeweyk.dementiavillage.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F3qd1Y61ZBewi+qFKAeH3p7RRg==">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37</Pages>
  <Words>14539</Words>
  <Characters>82874</Characters>
  <Application>Microsoft Office Word</Application>
  <DocSecurity>0</DocSecurity>
  <Lines>690</Lines>
  <Paragraphs>194</Paragraphs>
  <ScaleCrop>false</ScaleCrop>
  <Company/>
  <LinksUpToDate>false</LinksUpToDate>
  <CharactersWithSpaces>97219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Manzoor Ahmed</cp:lastModifiedBy>
  <cp:revision>3</cp:revision>
  <dcterms:created xsi:type="dcterms:W3CDTF">2026-09-10T08:06:00Z</dcterms:created>
  <dcterms:modified xsi:type="dcterms:W3CDTF">2026-09-28T10:01:00Z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0x0101003ACB5C95660D214B86919F869F1F71AE</vt:lpwstr>
  </property>
  <property fmtid="{D5CDD505-2E9C-101B-9397-08002B2CF9AE}" pid="3" name="MediaServiceImageTags">
    <vt:lpwstr>MediaServiceImageTags</vt:lpwstr>
  </property>
</Properties>
</file>