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CD19D" w14:textId="77777777" w:rsidR="00B63F7B" w:rsidRDefault="00B63F7B">
      <w:pPr>
        <w:pStyle w:val="a3"/>
      </w:pPr>
    </w:p>
    <w:p w14:paraId="22C26A59" w14:textId="77777777" w:rsidR="00B63F7B" w:rsidRDefault="00B63F7B">
      <w:pPr>
        <w:pStyle w:val="a3"/>
      </w:pPr>
    </w:p>
    <w:p w14:paraId="1776AAFB" w14:textId="77777777" w:rsidR="00B63F7B" w:rsidRDefault="00B63F7B">
      <w:pPr>
        <w:pStyle w:val="a3"/>
      </w:pPr>
    </w:p>
    <w:p w14:paraId="3E8A2012" w14:textId="77777777" w:rsidR="00B63F7B" w:rsidRPr="005F6D50" w:rsidRDefault="005A0A7B">
      <w:pPr>
        <w:pStyle w:val="a3"/>
        <w:rPr>
          <w:rStyle w:val="VarsaylanParagrafYazTipi"/>
          <w:b/>
          <w:bCs/>
          <w:caps/>
          <w:sz w:val="48"/>
          <w:szCs w:val="48"/>
        </w:rPr>
      </w:pPr>
      <w:r w:rsidRPr="005F6D50">
        <w:rPr>
          <w:rStyle w:val="VarsaylanParagrafYazTipi"/>
          <w:b/>
          <w:bCs/>
          <w:caps/>
          <w:sz w:val="48"/>
          <w:szCs w:val="48"/>
        </w:rPr>
        <w:t>VISION</w:t>
      </w:r>
    </w:p>
    <w:p w14:paraId="53FD37EB" w14:textId="77777777" w:rsidR="00B63F7B" w:rsidRDefault="005A0A7B">
      <w:pPr>
        <w:pStyle w:val="a3"/>
      </w:pPr>
      <w:r>
        <w:rPr>
          <w:rStyle w:val="VarsaylanParagrafYazTipi"/>
          <w:b/>
          <w:bCs/>
          <w:caps/>
          <w:sz w:val="48"/>
          <w:szCs w:val="48"/>
        </w:rPr>
        <w:t>Virtual Integrated Supply-chain Improvement with Optimised Networking</w:t>
      </w:r>
    </w:p>
    <w:p w14:paraId="345702FF" w14:textId="77777777" w:rsidR="00B63F7B" w:rsidRDefault="005A0A7B">
      <w:pPr>
        <w:pStyle w:val="a3"/>
      </w:pPr>
      <w:r>
        <w:rPr>
          <w:rStyle w:val="VarsaylanParagrafYazTipi"/>
          <w:sz w:val="24"/>
          <w:szCs w:val="24"/>
        </w:rPr>
        <w:t> </w:t>
      </w:r>
      <w:r>
        <w:rPr>
          <w:rStyle w:val="VarsaylanParagrafYazTipi"/>
          <w:noProof/>
          <w:sz w:val="24"/>
          <w:szCs w:val="24"/>
        </w:rPr>
        <w:drawing>
          <wp:inline distT="0" distB="0" distL="0" distR="0" wp14:anchorId="4CCC2FBE" wp14:editId="50507CA4">
            <wp:extent cx="4572000" cy="1933571"/>
            <wp:effectExtent l="0" t="0" r="0" b="0"/>
            <wp:docPr id="1186720667" name="Picture 2" descr="텍스트, 스크린샷, 그래픽, 디자인이(가) 표시된 사진&#10;&#10;AI 생성 콘텐츠는 정확하지 않을 수 있습니다."/>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4572000" cy="1933571"/>
                    </a:xfrm>
                    <a:prstGeom prst="rect">
                      <a:avLst/>
                    </a:prstGeom>
                    <a:noFill/>
                    <a:ln>
                      <a:noFill/>
                      <a:prstDash/>
                    </a:ln>
                  </pic:spPr>
                </pic:pic>
              </a:graphicData>
            </a:graphic>
          </wp:inline>
        </w:drawing>
      </w:r>
    </w:p>
    <w:p w14:paraId="091AB533" w14:textId="77777777" w:rsidR="00B63F7B" w:rsidRDefault="005A0A7B">
      <w:pPr>
        <w:pStyle w:val="a3"/>
      </w:pPr>
      <w:r>
        <w:t>DXXX Initial Project Exploitation Plan</w:t>
      </w:r>
    </w:p>
    <w:p w14:paraId="60A620B8" w14:textId="77777777" w:rsidR="00B63F7B" w:rsidRDefault="00B63F7B">
      <w:pPr>
        <w:pStyle w:val="a3"/>
      </w:pPr>
    </w:p>
    <w:p w14:paraId="60421FB7" w14:textId="77777777" w:rsidR="00B63F7B" w:rsidRDefault="00B63F7B">
      <w:pPr>
        <w:pStyle w:val="a3"/>
      </w:pPr>
    </w:p>
    <w:tbl>
      <w:tblPr>
        <w:tblW w:w="9041" w:type="dxa"/>
        <w:tblCellMar>
          <w:left w:w="10" w:type="dxa"/>
          <w:right w:w="10" w:type="dxa"/>
        </w:tblCellMar>
        <w:tblLook w:val="04A0" w:firstRow="1" w:lastRow="0" w:firstColumn="1" w:lastColumn="0" w:noHBand="0" w:noVBand="1"/>
      </w:tblPr>
      <w:tblGrid>
        <w:gridCol w:w="2684"/>
        <w:gridCol w:w="6357"/>
      </w:tblGrid>
      <w:tr w:rsidR="00B63F7B" w14:paraId="3F54C685" w14:textId="77777777">
        <w:trPr>
          <w:trHeight w:val="300"/>
        </w:trPr>
        <w:tc>
          <w:tcPr>
            <w:tcW w:w="2684" w:type="dxa"/>
            <w:tcBorders>
              <w:top w:val="single" w:sz="12" w:space="0" w:color="747474"/>
              <w:left w:val="single" w:sz="12" w:space="0" w:color="747474"/>
              <w:bottom w:val="single" w:sz="6" w:space="0" w:color="000000"/>
              <w:right w:val="single" w:sz="12" w:space="0" w:color="747474"/>
            </w:tcBorders>
            <w:shd w:val="clear" w:color="auto" w:fill="F2F2F2"/>
            <w:tcMar>
              <w:top w:w="0" w:type="dxa"/>
              <w:left w:w="0" w:type="dxa"/>
              <w:bottom w:w="0" w:type="dxa"/>
              <w:right w:w="0" w:type="dxa"/>
            </w:tcMar>
            <w:vAlign w:val="center"/>
          </w:tcPr>
          <w:p w14:paraId="63C78665" w14:textId="77777777" w:rsidR="00B63F7B" w:rsidRDefault="005A0A7B">
            <w:pPr>
              <w:pStyle w:val="Balk1"/>
              <w:rPr>
                <w:b/>
                <w:bCs/>
              </w:rPr>
            </w:pPr>
            <w:r>
              <w:rPr>
                <w:b/>
                <w:bCs/>
              </w:rPr>
              <w:t>Project identifier </w:t>
            </w:r>
          </w:p>
        </w:tc>
        <w:tc>
          <w:tcPr>
            <w:tcW w:w="6357" w:type="dxa"/>
            <w:tcBorders>
              <w:top w:val="single" w:sz="12" w:space="0" w:color="747474"/>
              <w:left w:val="single" w:sz="12" w:space="0" w:color="747474"/>
              <w:bottom w:val="single" w:sz="6" w:space="0" w:color="000000"/>
              <w:right w:val="single" w:sz="12" w:space="0" w:color="747474"/>
            </w:tcBorders>
            <w:tcMar>
              <w:top w:w="0" w:type="dxa"/>
              <w:left w:w="0" w:type="dxa"/>
              <w:bottom w:w="0" w:type="dxa"/>
              <w:right w:w="0" w:type="dxa"/>
            </w:tcMar>
            <w:vAlign w:val="center"/>
          </w:tcPr>
          <w:p w14:paraId="787BC580" w14:textId="77777777" w:rsidR="00B63F7B" w:rsidRDefault="005A0A7B">
            <w:pPr>
              <w:pStyle w:val="Balk1"/>
              <w:rPr>
                <w:lang w:eastAsia="zh-CN"/>
              </w:rPr>
            </w:pPr>
            <w:r>
              <w:rPr>
                <w:lang w:eastAsia="zh-CN"/>
              </w:rPr>
              <w:t>ITEA4 VISION</w:t>
            </w:r>
          </w:p>
        </w:tc>
      </w:tr>
      <w:tr w:rsidR="00B63F7B" w14:paraId="42A2F059" w14:textId="77777777">
        <w:trPr>
          <w:trHeight w:val="300"/>
        </w:trPr>
        <w:tc>
          <w:tcPr>
            <w:tcW w:w="2684" w:type="dxa"/>
            <w:tcBorders>
              <w:top w:val="single" w:sz="6" w:space="0" w:color="000000"/>
              <w:left w:val="single" w:sz="12" w:space="0" w:color="747474"/>
              <w:bottom w:val="single" w:sz="6" w:space="0" w:color="000000"/>
              <w:right w:val="single" w:sz="12" w:space="0" w:color="747474"/>
            </w:tcBorders>
            <w:shd w:val="clear" w:color="auto" w:fill="F2F2F2"/>
            <w:tcMar>
              <w:top w:w="0" w:type="dxa"/>
              <w:left w:w="0" w:type="dxa"/>
              <w:bottom w:w="0" w:type="dxa"/>
              <w:right w:w="0" w:type="dxa"/>
            </w:tcMar>
            <w:vAlign w:val="center"/>
          </w:tcPr>
          <w:p w14:paraId="3250C272" w14:textId="77777777" w:rsidR="00B63F7B" w:rsidRDefault="005A0A7B">
            <w:pPr>
              <w:pStyle w:val="Balk1"/>
            </w:pPr>
            <w:r>
              <w:rPr>
                <w:rStyle w:val="VarsaylanParagrafYazTipi"/>
                <w:b/>
                <w:bCs/>
              </w:rPr>
              <w:t>Project title</w:t>
            </w:r>
            <w:r>
              <w:rPr>
                <w:rStyle w:val="VarsaylanParagrafYazTipi"/>
              </w:rPr>
              <w:t> </w:t>
            </w:r>
          </w:p>
        </w:tc>
        <w:tc>
          <w:tcPr>
            <w:tcW w:w="6357" w:type="dxa"/>
            <w:tcBorders>
              <w:top w:val="single" w:sz="6" w:space="0" w:color="000000"/>
              <w:left w:val="single" w:sz="12" w:space="0" w:color="747474"/>
              <w:bottom w:val="single" w:sz="6" w:space="0" w:color="000000"/>
              <w:right w:val="single" w:sz="12" w:space="0" w:color="747474"/>
            </w:tcBorders>
            <w:tcMar>
              <w:top w:w="0" w:type="dxa"/>
              <w:left w:w="0" w:type="dxa"/>
              <w:bottom w:w="0" w:type="dxa"/>
              <w:right w:w="0" w:type="dxa"/>
            </w:tcMar>
            <w:vAlign w:val="center"/>
          </w:tcPr>
          <w:p w14:paraId="5F4058FE" w14:textId="77777777" w:rsidR="00B63F7B" w:rsidRDefault="005A0A7B">
            <w:pPr>
              <w:pStyle w:val="Balk1"/>
            </w:pPr>
            <w:r>
              <w:t>VIRTUAL INTEGRATED SUPPLY-CHAIN IMPROVEMENT WITH OPTIMISED NETWORKING</w:t>
            </w:r>
          </w:p>
        </w:tc>
      </w:tr>
      <w:tr w:rsidR="00B63F7B" w14:paraId="108CD4C5" w14:textId="77777777">
        <w:trPr>
          <w:trHeight w:val="300"/>
        </w:trPr>
        <w:tc>
          <w:tcPr>
            <w:tcW w:w="2684" w:type="dxa"/>
            <w:tcBorders>
              <w:top w:val="single" w:sz="6" w:space="0" w:color="000000"/>
              <w:left w:val="single" w:sz="12" w:space="0" w:color="747474"/>
              <w:bottom w:val="single" w:sz="6" w:space="0" w:color="000000"/>
              <w:right w:val="single" w:sz="12" w:space="0" w:color="747474"/>
            </w:tcBorders>
            <w:shd w:val="clear" w:color="auto" w:fill="F2F2F2"/>
            <w:tcMar>
              <w:top w:w="0" w:type="dxa"/>
              <w:left w:w="0" w:type="dxa"/>
              <w:bottom w:w="0" w:type="dxa"/>
              <w:right w:w="0" w:type="dxa"/>
            </w:tcMar>
            <w:vAlign w:val="center"/>
          </w:tcPr>
          <w:p w14:paraId="7FEB6BA2" w14:textId="77777777" w:rsidR="00B63F7B" w:rsidRDefault="005A0A7B">
            <w:pPr>
              <w:pStyle w:val="Balk1"/>
            </w:pPr>
            <w:r>
              <w:rPr>
                <w:rStyle w:val="VarsaylanParagrafYazTipi"/>
                <w:b/>
                <w:bCs/>
              </w:rPr>
              <w:t>Document version</w:t>
            </w:r>
            <w:r>
              <w:rPr>
                <w:rStyle w:val="VarsaylanParagrafYazTipi"/>
              </w:rPr>
              <w:t> </w:t>
            </w:r>
          </w:p>
        </w:tc>
        <w:tc>
          <w:tcPr>
            <w:tcW w:w="6357" w:type="dxa"/>
            <w:tcBorders>
              <w:top w:val="single" w:sz="6" w:space="0" w:color="000000"/>
              <w:left w:val="single" w:sz="12" w:space="0" w:color="747474"/>
              <w:bottom w:val="single" w:sz="6" w:space="0" w:color="000000"/>
              <w:right w:val="single" w:sz="12" w:space="0" w:color="747474"/>
            </w:tcBorders>
            <w:tcMar>
              <w:top w:w="0" w:type="dxa"/>
              <w:left w:w="0" w:type="dxa"/>
              <w:bottom w:w="0" w:type="dxa"/>
              <w:right w:w="0" w:type="dxa"/>
            </w:tcMar>
            <w:vAlign w:val="center"/>
          </w:tcPr>
          <w:p w14:paraId="058D15E0" w14:textId="77777777" w:rsidR="00B63F7B" w:rsidRDefault="005A0A7B">
            <w:pPr>
              <w:pStyle w:val="Balk1"/>
              <w:rPr>
                <w:lang w:eastAsia="zh-CN"/>
              </w:rPr>
            </w:pPr>
            <w:r>
              <w:rPr>
                <w:lang w:eastAsia="zh-CN"/>
              </w:rPr>
              <w:t>1</w:t>
            </w:r>
          </w:p>
        </w:tc>
      </w:tr>
      <w:tr w:rsidR="00B63F7B" w14:paraId="77369AA0" w14:textId="77777777">
        <w:trPr>
          <w:trHeight w:val="300"/>
        </w:trPr>
        <w:tc>
          <w:tcPr>
            <w:tcW w:w="2684" w:type="dxa"/>
            <w:tcBorders>
              <w:top w:val="single" w:sz="6" w:space="0" w:color="000000"/>
              <w:left w:val="single" w:sz="12" w:space="0" w:color="747474"/>
              <w:bottom w:val="single" w:sz="6" w:space="0" w:color="000000"/>
              <w:right w:val="single" w:sz="12" w:space="0" w:color="747474"/>
            </w:tcBorders>
            <w:shd w:val="clear" w:color="auto" w:fill="F2F2F2"/>
            <w:tcMar>
              <w:top w:w="0" w:type="dxa"/>
              <w:left w:w="0" w:type="dxa"/>
              <w:bottom w:w="0" w:type="dxa"/>
              <w:right w:w="0" w:type="dxa"/>
            </w:tcMar>
            <w:vAlign w:val="center"/>
          </w:tcPr>
          <w:p w14:paraId="05CB4B5B" w14:textId="77777777" w:rsidR="00B63F7B" w:rsidRDefault="005A0A7B">
            <w:pPr>
              <w:pStyle w:val="Balk1"/>
            </w:pPr>
            <w:r>
              <w:rPr>
                <w:rStyle w:val="VarsaylanParagrafYazTipi"/>
                <w:b/>
                <w:bCs/>
              </w:rPr>
              <w:t>Planned delivery date</w:t>
            </w:r>
            <w:r>
              <w:rPr>
                <w:rStyle w:val="VarsaylanParagrafYazTipi"/>
              </w:rPr>
              <w:t> </w:t>
            </w:r>
          </w:p>
        </w:tc>
        <w:tc>
          <w:tcPr>
            <w:tcW w:w="6357" w:type="dxa"/>
            <w:tcBorders>
              <w:top w:val="single" w:sz="6" w:space="0" w:color="000000"/>
              <w:left w:val="single" w:sz="12" w:space="0" w:color="747474"/>
              <w:bottom w:val="single" w:sz="6" w:space="0" w:color="000000"/>
              <w:right w:val="single" w:sz="12" w:space="0" w:color="747474"/>
            </w:tcBorders>
            <w:tcMar>
              <w:top w:w="0" w:type="dxa"/>
              <w:left w:w="0" w:type="dxa"/>
              <w:bottom w:w="0" w:type="dxa"/>
              <w:right w:w="0" w:type="dxa"/>
            </w:tcMar>
            <w:vAlign w:val="center"/>
          </w:tcPr>
          <w:p w14:paraId="6316A7F7" w14:textId="77777777" w:rsidR="00B63F7B" w:rsidRDefault="005A0A7B">
            <w:pPr>
              <w:pStyle w:val="Balk1"/>
              <w:rPr>
                <w:lang w:eastAsia="zh-CN"/>
              </w:rPr>
            </w:pPr>
            <w:r>
              <w:rPr>
                <w:lang w:eastAsia="zh-CN"/>
              </w:rPr>
              <w:t>25 Dec 2025</w:t>
            </w:r>
          </w:p>
        </w:tc>
      </w:tr>
      <w:tr w:rsidR="00B63F7B" w14:paraId="48205730" w14:textId="77777777">
        <w:trPr>
          <w:trHeight w:val="300"/>
        </w:trPr>
        <w:tc>
          <w:tcPr>
            <w:tcW w:w="2684" w:type="dxa"/>
            <w:tcBorders>
              <w:top w:val="single" w:sz="6" w:space="0" w:color="000000"/>
              <w:left w:val="single" w:sz="12" w:space="0" w:color="747474"/>
              <w:bottom w:val="single" w:sz="6" w:space="0" w:color="000000"/>
              <w:right w:val="single" w:sz="12" w:space="0" w:color="747474"/>
            </w:tcBorders>
            <w:shd w:val="clear" w:color="auto" w:fill="F2F2F2"/>
            <w:tcMar>
              <w:top w:w="0" w:type="dxa"/>
              <w:left w:w="0" w:type="dxa"/>
              <w:bottom w:w="0" w:type="dxa"/>
              <w:right w:w="0" w:type="dxa"/>
            </w:tcMar>
            <w:vAlign w:val="center"/>
          </w:tcPr>
          <w:p w14:paraId="04D6DB8C" w14:textId="77777777" w:rsidR="00B63F7B" w:rsidRDefault="005A0A7B">
            <w:pPr>
              <w:pStyle w:val="Balk1"/>
            </w:pPr>
            <w:r>
              <w:rPr>
                <w:rStyle w:val="VarsaylanParagrafYazTipi"/>
                <w:b/>
                <w:bCs/>
              </w:rPr>
              <w:t>Actual delivery date</w:t>
            </w:r>
            <w:r>
              <w:rPr>
                <w:rStyle w:val="VarsaylanParagrafYazTipi"/>
              </w:rPr>
              <w:t> </w:t>
            </w:r>
          </w:p>
        </w:tc>
        <w:tc>
          <w:tcPr>
            <w:tcW w:w="6357" w:type="dxa"/>
            <w:tcBorders>
              <w:top w:val="single" w:sz="6" w:space="0" w:color="000000"/>
              <w:left w:val="single" w:sz="12" w:space="0" w:color="747474"/>
              <w:bottom w:val="single" w:sz="6" w:space="0" w:color="000000"/>
              <w:right w:val="single" w:sz="12" w:space="0" w:color="747474"/>
            </w:tcBorders>
            <w:tcMar>
              <w:top w:w="0" w:type="dxa"/>
              <w:left w:w="0" w:type="dxa"/>
              <w:bottom w:w="0" w:type="dxa"/>
              <w:right w:w="0" w:type="dxa"/>
            </w:tcMar>
            <w:vAlign w:val="center"/>
          </w:tcPr>
          <w:p w14:paraId="41B1413B" w14:textId="77777777" w:rsidR="00B63F7B" w:rsidRDefault="00B63F7B">
            <w:pPr>
              <w:pStyle w:val="Balk1"/>
            </w:pPr>
          </w:p>
        </w:tc>
      </w:tr>
      <w:tr w:rsidR="00B63F7B" w14:paraId="5020BB19" w14:textId="77777777">
        <w:trPr>
          <w:trHeight w:val="300"/>
        </w:trPr>
        <w:tc>
          <w:tcPr>
            <w:tcW w:w="2684" w:type="dxa"/>
            <w:tcBorders>
              <w:top w:val="single" w:sz="6" w:space="0" w:color="000000"/>
              <w:left w:val="single" w:sz="12" w:space="0" w:color="747474"/>
              <w:bottom w:val="single" w:sz="6" w:space="0" w:color="000000"/>
              <w:right w:val="single" w:sz="12" w:space="0" w:color="747474"/>
            </w:tcBorders>
            <w:shd w:val="clear" w:color="auto" w:fill="F2F2F2"/>
            <w:tcMar>
              <w:top w:w="0" w:type="dxa"/>
              <w:left w:w="0" w:type="dxa"/>
              <w:bottom w:w="0" w:type="dxa"/>
              <w:right w:w="0" w:type="dxa"/>
            </w:tcMar>
            <w:vAlign w:val="center"/>
          </w:tcPr>
          <w:p w14:paraId="1BBDB5B7" w14:textId="77777777" w:rsidR="00B63F7B" w:rsidRDefault="005A0A7B">
            <w:pPr>
              <w:pStyle w:val="Balk1"/>
            </w:pPr>
            <w:r>
              <w:rPr>
                <w:rStyle w:val="VarsaylanParagrafYazTipi"/>
                <w:b/>
                <w:bCs/>
              </w:rPr>
              <w:t>Document title</w:t>
            </w:r>
            <w:r>
              <w:rPr>
                <w:rStyle w:val="VarsaylanParagrafYazTipi"/>
              </w:rPr>
              <w:t> </w:t>
            </w:r>
          </w:p>
        </w:tc>
        <w:tc>
          <w:tcPr>
            <w:tcW w:w="6357" w:type="dxa"/>
            <w:tcBorders>
              <w:top w:val="single" w:sz="6" w:space="0" w:color="000000"/>
              <w:left w:val="single" w:sz="12" w:space="0" w:color="747474"/>
              <w:bottom w:val="single" w:sz="6" w:space="0" w:color="000000"/>
              <w:right w:val="single" w:sz="12" w:space="0" w:color="747474"/>
            </w:tcBorders>
            <w:tcMar>
              <w:top w:w="0" w:type="dxa"/>
              <w:left w:w="0" w:type="dxa"/>
              <w:bottom w:w="0" w:type="dxa"/>
              <w:right w:w="0" w:type="dxa"/>
            </w:tcMar>
            <w:vAlign w:val="center"/>
          </w:tcPr>
          <w:p w14:paraId="57F0E8D3" w14:textId="77777777" w:rsidR="00B63F7B" w:rsidRDefault="005A0A7B">
            <w:pPr>
              <w:pStyle w:val="Balk1"/>
            </w:pPr>
            <w:r>
              <w:t xml:space="preserve">Initial Project Exploitation plan </w:t>
            </w:r>
          </w:p>
        </w:tc>
      </w:tr>
      <w:tr w:rsidR="00B63F7B" w14:paraId="1F96DF77" w14:textId="77777777">
        <w:trPr>
          <w:trHeight w:val="300"/>
        </w:trPr>
        <w:tc>
          <w:tcPr>
            <w:tcW w:w="2684" w:type="dxa"/>
            <w:tcBorders>
              <w:top w:val="single" w:sz="6" w:space="0" w:color="000000"/>
              <w:left w:val="single" w:sz="12" w:space="0" w:color="747474"/>
              <w:bottom w:val="single" w:sz="6" w:space="0" w:color="000000"/>
              <w:right w:val="single" w:sz="12" w:space="0" w:color="747474"/>
            </w:tcBorders>
            <w:shd w:val="clear" w:color="auto" w:fill="F2F2F2"/>
            <w:tcMar>
              <w:top w:w="0" w:type="dxa"/>
              <w:left w:w="0" w:type="dxa"/>
              <w:bottom w:w="0" w:type="dxa"/>
              <w:right w:w="0" w:type="dxa"/>
            </w:tcMar>
            <w:vAlign w:val="center"/>
          </w:tcPr>
          <w:p w14:paraId="12B67CC3" w14:textId="77777777" w:rsidR="00B63F7B" w:rsidRDefault="005A0A7B">
            <w:pPr>
              <w:pStyle w:val="Balk1"/>
            </w:pPr>
            <w:r>
              <w:rPr>
                <w:rStyle w:val="VarsaylanParagrafYazTipi"/>
                <w:b/>
                <w:bCs/>
              </w:rPr>
              <w:t>Work Package</w:t>
            </w:r>
            <w:r>
              <w:rPr>
                <w:rStyle w:val="VarsaylanParagrafYazTipi"/>
              </w:rPr>
              <w:t> </w:t>
            </w:r>
          </w:p>
        </w:tc>
        <w:tc>
          <w:tcPr>
            <w:tcW w:w="6357" w:type="dxa"/>
            <w:tcBorders>
              <w:top w:val="single" w:sz="6" w:space="0" w:color="000000"/>
              <w:left w:val="single" w:sz="12" w:space="0" w:color="747474"/>
              <w:bottom w:val="single" w:sz="6" w:space="0" w:color="000000"/>
              <w:right w:val="single" w:sz="12" w:space="0" w:color="747474"/>
            </w:tcBorders>
            <w:tcMar>
              <w:top w:w="0" w:type="dxa"/>
              <w:left w:w="0" w:type="dxa"/>
              <w:bottom w:w="0" w:type="dxa"/>
              <w:right w:w="0" w:type="dxa"/>
            </w:tcMar>
            <w:vAlign w:val="center"/>
          </w:tcPr>
          <w:p w14:paraId="7DDCEDAC" w14:textId="77777777" w:rsidR="00B63F7B" w:rsidRDefault="005A0A7B">
            <w:pPr>
              <w:pStyle w:val="Balk1"/>
            </w:pPr>
            <w:r>
              <w:rPr>
                <w:rStyle w:val="VarsaylanParagrafYazTipi"/>
              </w:rPr>
              <w:t>WP</w:t>
            </w:r>
            <w:r>
              <w:rPr>
                <w:rStyle w:val="VarsaylanParagrafYazTipi"/>
                <w:lang w:eastAsia="zh-CN"/>
              </w:rPr>
              <w:t>1</w:t>
            </w:r>
          </w:p>
        </w:tc>
      </w:tr>
      <w:tr w:rsidR="00B63F7B" w14:paraId="670C2994" w14:textId="77777777">
        <w:trPr>
          <w:trHeight w:val="300"/>
        </w:trPr>
        <w:tc>
          <w:tcPr>
            <w:tcW w:w="2684" w:type="dxa"/>
            <w:tcBorders>
              <w:top w:val="single" w:sz="6" w:space="0" w:color="000000"/>
              <w:left w:val="single" w:sz="12" w:space="0" w:color="747474"/>
              <w:bottom w:val="single" w:sz="12" w:space="0" w:color="747474"/>
              <w:right w:val="single" w:sz="12" w:space="0" w:color="747474"/>
            </w:tcBorders>
            <w:shd w:val="clear" w:color="auto" w:fill="F2F2F2"/>
            <w:tcMar>
              <w:top w:w="0" w:type="dxa"/>
              <w:left w:w="0" w:type="dxa"/>
              <w:bottom w:w="0" w:type="dxa"/>
              <w:right w:w="0" w:type="dxa"/>
            </w:tcMar>
            <w:vAlign w:val="center"/>
          </w:tcPr>
          <w:p w14:paraId="7A0794FE" w14:textId="77777777" w:rsidR="00B63F7B" w:rsidRDefault="005A0A7B">
            <w:pPr>
              <w:pStyle w:val="Balk1"/>
            </w:pPr>
            <w:r>
              <w:rPr>
                <w:rStyle w:val="VarsaylanParagrafYazTipi"/>
                <w:b/>
                <w:bCs/>
              </w:rPr>
              <w:t>Keywords</w:t>
            </w:r>
            <w:r>
              <w:rPr>
                <w:rStyle w:val="VarsaylanParagrafYazTipi"/>
              </w:rPr>
              <w:t> </w:t>
            </w:r>
          </w:p>
        </w:tc>
        <w:tc>
          <w:tcPr>
            <w:tcW w:w="6357" w:type="dxa"/>
            <w:tcBorders>
              <w:top w:val="single" w:sz="6" w:space="0" w:color="000000"/>
              <w:left w:val="single" w:sz="12" w:space="0" w:color="747474"/>
              <w:bottom w:val="single" w:sz="12" w:space="0" w:color="747474"/>
              <w:right w:val="single" w:sz="12" w:space="0" w:color="747474"/>
            </w:tcBorders>
            <w:tcMar>
              <w:top w:w="0" w:type="dxa"/>
              <w:left w:w="0" w:type="dxa"/>
              <w:bottom w:w="0" w:type="dxa"/>
              <w:right w:w="0" w:type="dxa"/>
            </w:tcMar>
            <w:vAlign w:val="center"/>
          </w:tcPr>
          <w:p w14:paraId="0FEBE065" w14:textId="77777777" w:rsidR="00B63F7B" w:rsidRDefault="005A0A7B">
            <w:pPr>
              <w:pStyle w:val="Balk1"/>
            </w:pPr>
            <w:r>
              <w:t>Standardisation, Exploitation, Dissemination   </w:t>
            </w:r>
          </w:p>
        </w:tc>
      </w:tr>
    </w:tbl>
    <w:p w14:paraId="58A3F705" w14:textId="77777777" w:rsidR="00B63F7B" w:rsidRDefault="005A0A7B">
      <w:pPr>
        <w:pStyle w:val="Balk1"/>
      </w:pPr>
      <w:r>
        <w:tab/>
      </w:r>
      <w:r>
        <w:tab/>
      </w:r>
    </w:p>
    <w:tbl>
      <w:tblPr>
        <w:tblW w:w="9058" w:type="dxa"/>
        <w:tblInd w:w="15" w:type="dxa"/>
        <w:tblCellMar>
          <w:left w:w="10" w:type="dxa"/>
          <w:right w:w="10" w:type="dxa"/>
        </w:tblCellMar>
        <w:tblLook w:val="04A0" w:firstRow="1" w:lastRow="0" w:firstColumn="1" w:lastColumn="0" w:noHBand="0" w:noVBand="1"/>
      </w:tblPr>
      <w:tblGrid>
        <w:gridCol w:w="2261"/>
        <w:gridCol w:w="3429"/>
        <w:gridCol w:w="3368"/>
      </w:tblGrid>
      <w:tr w:rsidR="00B63F7B" w14:paraId="748FC687" w14:textId="77777777">
        <w:trPr>
          <w:trHeight w:val="330"/>
        </w:trPr>
        <w:tc>
          <w:tcPr>
            <w:tcW w:w="2261" w:type="dxa"/>
            <w:tcBorders>
              <w:top w:val="single" w:sz="12" w:space="0" w:color="747474"/>
              <w:left w:val="single" w:sz="12" w:space="0" w:color="747474"/>
              <w:bottom w:val="single" w:sz="12" w:space="0" w:color="747474"/>
              <w:right w:val="single" w:sz="12" w:space="0" w:color="747474"/>
            </w:tcBorders>
            <w:shd w:val="clear" w:color="auto" w:fill="F2F2F2"/>
            <w:tcMar>
              <w:top w:w="0" w:type="dxa"/>
              <w:left w:w="0" w:type="dxa"/>
              <w:bottom w:w="0" w:type="dxa"/>
              <w:right w:w="0" w:type="dxa"/>
            </w:tcMar>
            <w:vAlign w:val="center"/>
          </w:tcPr>
          <w:p w14:paraId="25485602" w14:textId="77777777" w:rsidR="00B63F7B" w:rsidRDefault="005A0A7B">
            <w:pPr>
              <w:pStyle w:val="a3"/>
            </w:pPr>
            <w:r>
              <w:t>Function </w:t>
            </w:r>
          </w:p>
        </w:tc>
        <w:tc>
          <w:tcPr>
            <w:tcW w:w="3429" w:type="dxa"/>
            <w:tcBorders>
              <w:top w:val="single" w:sz="12" w:space="0" w:color="747474"/>
              <w:left w:val="single" w:sz="12" w:space="0" w:color="747474"/>
              <w:bottom w:val="single" w:sz="12" w:space="0" w:color="747474"/>
              <w:right w:val="single" w:sz="12" w:space="0" w:color="747474"/>
            </w:tcBorders>
            <w:shd w:val="clear" w:color="auto" w:fill="F2F2F2"/>
            <w:tcMar>
              <w:top w:w="0" w:type="dxa"/>
              <w:left w:w="0" w:type="dxa"/>
              <w:bottom w:w="0" w:type="dxa"/>
              <w:right w:w="0" w:type="dxa"/>
            </w:tcMar>
            <w:vAlign w:val="center"/>
          </w:tcPr>
          <w:p w14:paraId="63184060" w14:textId="77777777" w:rsidR="00B63F7B" w:rsidRDefault="005A0A7B">
            <w:pPr>
              <w:pStyle w:val="a3"/>
            </w:pPr>
            <w:r>
              <w:t>Name </w:t>
            </w:r>
          </w:p>
        </w:tc>
        <w:tc>
          <w:tcPr>
            <w:tcW w:w="3368" w:type="dxa"/>
            <w:tcBorders>
              <w:top w:val="single" w:sz="12" w:space="0" w:color="747474"/>
              <w:left w:val="single" w:sz="12" w:space="0" w:color="747474"/>
              <w:bottom w:val="single" w:sz="12" w:space="0" w:color="747474"/>
              <w:right w:val="single" w:sz="12" w:space="0" w:color="747474"/>
            </w:tcBorders>
            <w:shd w:val="clear" w:color="auto" w:fill="F2F2F2"/>
            <w:tcMar>
              <w:top w:w="0" w:type="dxa"/>
              <w:left w:w="0" w:type="dxa"/>
              <w:bottom w:w="0" w:type="dxa"/>
              <w:right w:w="0" w:type="dxa"/>
            </w:tcMar>
            <w:vAlign w:val="center"/>
          </w:tcPr>
          <w:p w14:paraId="346A7ED0" w14:textId="77777777" w:rsidR="00B63F7B" w:rsidRDefault="005A0A7B">
            <w:pPr>
              <w:pStyle w:val="a3"/>
            </w:pPr>
            <w:r>
              <w:t>Entity </w:t>
            </w:r>
          </w:p>
        </w:tc>
      </w:tr>
      <w:tr w:rsidR="00B63F7B" w14:paraId="2C5F89B2" w14:textId="77777777">
        <w:trPr>
          <w:trHeight w:val="330"/>
        </w:trPr>
        <w:tc>
          <w:tcPr>
            <w:tcW w:w="2261" w:type="dxa"/>
            <w:tcBorders>
              <w:top w:val="single" w:sz="12" w:space="0" w:color="747474"/>
              <w:left w:val="single" w:sz="12" w:space="0" w:color="747474"/>
              <w:bottom w:val="single" w:sz="6" w:space="0" w:color="000000"/>
              <w:right w:val="single" w:sz="12" w:space="0" w:color="747474"/>
            </w:tcBorders>
            <w:shd w:val="clear" w:color="auto" w:fill="F7F7F7"/>
            <w:tcMar>
              <w:top w:w="0" w:type="dxa"/>
              <w:left w:w="0" w:type="dxa"/>
              <w:bottom w:w="0" w:type="dxa"/>
              <w:right w:w="0" w:type="dxa"/>
            </w:tcMar>
            <w:vAlign w:val="center"/>
          </w:tcPr>
          <w:p w14:paraId="4AC0287F" w14:textId="77777777" w:rsidR="00B63F7B" w:rsidRDefault="005A0A7B">
            <w:pPr>
              <w:pStyle w:val="a3"/>
            </w:pPr>
            <w:r>
              <w:rPr>
                <w:rStyle w:val="VarsaylanParagrafYazTipi"/>
                <w:b/>
                <w:bCs/>
                <w:sz w:val="22"/>
              </w:rPr>
              <w:t>Author</w:t>
            </w:r>
            <w:r>
              <w:rPr>
                <w:rStyle w:val="VarsaylanParagrafYazTipi"/>
                <w:b/>
                <w:sz w:val="22"/>
              </w:rPr>
              <w:t> </w:t>
            </w:r>
          </w:p>
        </w:tc>
        <w:tc>
          <w:tcPr>
            <w:tcW w:w="3429" w:type="dxa"/>
            <w:tcBorders>
              <w:top w:val="single" w:sz="12" w:space="0" w:color="747474"/>
              <w:left w:val="single" w:sz="12" w:space="0" w:color="747474"/>
              <w:bottom w:val="single" w:sz="6" w:space="0" w:color="000000"/>
              <w:right w:val="single" w:sz="6" w:space="0" w:color="000000"/>
            </w:tcBorders>
            <w:tcMar>
              <w:top w:w="0" w:type="dxa"/>
              <w:left w:w="0" w:type="dxa"/>
              <w:bottom w:w="0" w:type="dxa"/>
              <w:right w:w="0" w:type="dxa"/>
            </w:tcMar>
            <w:vAlign w:val="center"/>
          </w:tcPr>
          <w:p w14:paraId="48DE68ED" w14:textId="77777777" w:rsidR="00B63F7B" w:rsidRDefault="005A0A7B">
            <w:pPr>
              <w:pStyle w:val="a3"/>
              <w:rPr>
                <w:lang w:eastAsia="zh-CN"/>
              </w:rPr>
            </w:pPr>
            <w:r>
              <w:rPr>
                <w:lang w:eastAsia="zh-CN"/>
              </w:rPr>
              <w:t>All Partners</w:t>
            </w:r>
          </w:p>
        </w:tc>
        <w:tc>
          <w:tcPr>
            <w:tcW w:w="3368" w:type="dxa"/>
            <w:tcBorders>
              <w:top w:val="single" w:sz="12" w:space="0" w:color="747474"/>
              <w:left w:val="single" w:sz="6" w:space="0" w:color="000000"/>
              <w:bottom w:val="single" w:sz="6" w:space="0" w:color="000000"/>
              <w:right w:val="single" w:sz="12" w:space="0" w:color="747474"/>
            </w:tcBorders>
            <w:tcMar>
              <w:top w:w="0" w:type="dxa"/>
              <w:left w:w="0" w:type="dxa"/>
              <w:bottom w:w="0" w:type="dxa"/>
              <w:right w:w="0" w:type="dxa"/>
            </w:tcMar>
            <w:vAlign w:val="center"/>
          </w:tcPr>
          <w:p w14:paraId="176C2F4E" w14:textId="77777777" w:rsidR="00B63F7B" w:rsidRDefault="005A0A7B">
            <w:pPr>
              <w:pStyle w:val="a3"/>
              <w:rPr>
                <w:lang w:eastAsia="zh-CN"/>
              </w:rPr>
            </w:pPr>
            <w:r>
              <w:rPr>
                <w:lang w:eastAsia="zh-CN"/>
              </w:rPr>
              <w:t>All Partners</w:t>
            </w:r>
          </w:p>
        </w:tc>
      </w:tr>
      <w:tr w:rsidR="00B63F7B" w14:paraId="0B65FF80" w14:textId="77777777">
        <w:trPr>
          <w:trHeight w:val="330"/>
        </w:trPr>
        <w:tc>
          <w:tcPr>
            <w:tcW w:w="2261" w:type="dxa"/>
            <w:tcBorders>
              <w:top w:val="single" w:sz="6" w:space="0" w:color="000000"/>
              <w:left w:val="single" w:sz="12" w:space="0" w:color="747474"/>
              <w:bottom w:val="single" w:sz="6" w:space="0" w:color="000000"/>
              <w:right w:val="single" w:sz="12" w:space="0" w:color="747474"/>
            </w:tcBorders>
            <w:shd w:val="clear" w:color="auto" w:fill="F7F7F7"/>
            <w:tcMar>
              <w:top w:w="0" w:type="dxa"/>
              <w:left w:w="0" w:type="dxa"/>
              <w:bottom w:w="0" w:type="dxa"/>
              <w:right w:w="0" w:type="dxa"/>
            </w:tcMar>
            <w:vAlign w:val="center"/>
          </w:tcPr>
          <w:p w14:paraId="68323AA4" w14:textId="77777777" w:rsidR="00B63F7B" w:rsidRDefault="005A0A7B">
            <w:pPr>
              <w:pStyle w:val="a3"/>
            </w:pPr>
            <w:r>
              <w:rPr>
                <w:rStyle w:val="VarsaylanParagrafYazTipi"/>
                <w:b/>
                <w:bCs/>
                <w:sz w:val="22"/>
              </w:rPr>
              <w:lastRenderedPageBreak/>
              <w:t>Editors</w:t>
            </w:r>
            <w:r>
              <w:rPr>
                <w:rStyle w:val="VarsaylanParagrafYazTipi"/>
                <w:b/>
                <w:sz w:val="22"/>
              </w:rPr>
              <w:t> </w:t>
            </w:r>
          </w:p>
        </w:tc>
        <w:tc>
          <w:tcPr>
            <w:tcW w:w="3429" w:type="dxa"/>
            <w:tcBorders>
              <w:top w:val="single" w:sz="6" w:space="0" w:color="000000"/>
              <w:left w:val="single" w:sz="12" w:space="0" w:color="747474"/>
              <w:bottom w:val="single" w:sz="6" w:space="0" w:color="000000"/>
              <w:right w:val="single" w:sz="6" w:space="0" w:color="000000"/>
            </w:tcBorders>
            <w:tcMar>
              <w:top w:w="0" w:type="dxa"/>
              <w:left w:w="0" w:type="dxa"/>
              <w:bottom w:w="0" w:type="dxa"/>
              <w:right w:w="0" w:type="dxa"/>
            </w:tcMar>
            <w:vAlign w:val="center"/>
          </w:tcPr>
          <w:p w14:paraId="6A00A2A2" w14:textId="77777777" w:rsidR="00B63F7B" w:rsidRDefault="005A0A7B">
            <w:pPr>
              <w:pStyle w:val="a3"/>
            </w:pPr>
            <w:r>
              <w:t> </w:t>
            </w:r>
          </w:p>
        </w:tc>
        <w:tc>
          <w:tcPr>
            <w:tcW w:w="3368" w:type="dxa"/>
            <w:tcBorders>
              <w:top w:val="single" w:sz="6" w:space="0" w:color="000000"/>
              <w:left w:val="single" w:sz="6" w:space="0" w:color="000000"/>
              <w:bottom w:val="single" w:sz="6" w:space="0" w:color="000000"/>
              <w:right w:val="single" w:sz="12" w:space="0" w:color="747474"/>
            </w:tcBorders>
            <w:tcMar>
              <w:top w:w="0" w:type="dxa"/>
              <w:left w:w="0" w:type="dxa"/>
              <w:bottom w:w="0" w:type="dxa"/>
              <w:right w:w="0" w:type="dxa"/>
            </w:tcMar>
            <w:vAlign w:val="center"/>
          </w:tcPr>
          <w:p w14:paraId="356C00C3" w14:textId="77777777" w:rsidR="00B63F7B" w:rsidRDefault="005A0A7B">
            <w:pPr>
              <w:pStyle w:val="a3"/>
            </w:pPr>
            <w:r>
              <w:t> </w:t>
            </w:r>
          </w:p>
        </w:tc>
      </w:tr>
      <w:tr w:rsidR="00B63F7B" w14:paraId="5C16324A" w14:textId="77777777">
        <w:trPr>
          <w:trHeight w:val="330"/>
        </w:trPr>
        <w:tc>
          <w:tcPr>
            <w:tcW w:w="2261" w:type="dxa"/>
            <w:tcBorders>
              <w:top w:val="single" w:sz="6" w:space="0" w:color="000000"/>
              <w:left w:val="single" w:sz="12" w:space="0" w:color="747474"/>
              <w:bottom w:val="single" w:sz="6" w:space="0" w:color="000000"/>
              <w:right w:val="single" w:sz="12" w:space="0" w:color="747474"/>
            </w:tcBorders>
            <w:shd w:val="clear" w:color="auto" w:fill="F7F7F7"/>
            <w:tcMar>
              <w:top w:w="0" w:type="dxa"/>
              <w:left w:w="0" w:type="dxa"/>
              <w:bottom w:w="0" w:type="dxa"/>
              <w:right w:w="0" w:type="dxa"/>
            </w:tcMar>
            <w:vAlign w:val="center"/>
          </w:tcPr>
          <w:p w14:paraId="63078FFD" w14:textId="77777777" w:rsidR="00B63F7B" w:rsidRDefault="005A0A7B">
            <w:pPr>
              <w:pStyle w:val="a3"/>
            </w:pPr>
            <w:r>
              <w:rPr>
                <w:rStyle w:val="VarsaylanParagrafYazTipi"/>
                <w:b/>
                <w:bCs/>
                <w:sz w:val="22"/>
              </w:rPr>
              <w:t>Contributors</w:t>
            </w:r>
            <w:r>
              <w:rPr>
                <w:rStyle w:val="VarsaylanParagrafYazTipi"/>
                <w:b/>
                <w:sz w:val="22"/>
              </w:rPr>
              <w:t> </w:t>
            </w:r>
          </w:p>
        </w:tc>
        <w:tc>
          <w:tcPr>
            <w:tcW w:w="3429" w:type="dxa"/>
            <w:tcBorders>
              <w:top w:val="single" w:sz="6" w:space="0" w:color="000000"/>
              <w:left w:val="single" w:sz="12" w:space="0" w:color="747474"/>
              <w:bottom w:val="single" w:sz="6" w:space="0" w:color="000000"/>
              <w:right w:val="single" w:sz="6" w:space="0" w:color="000000"/>
            </w:tcBorders>
            <w:tcMar>
              <w:top w:w="0" w:type="dxa"/>
              <w:left w:w="0" w:type="dxa"/>
              <w:bottom w:w="0" w:type="dxa"/>
              <w:right w:w="0" w:type="dxa"/>
            </w:tcMar>
            <w:vAlign w:val="center"/>
          </w:tcPr>
          <w:p w14:paraId="342BC97B" w14:textId="1377542F" w:rsidR="00EE39F4" w:rsidRDefault="00EE39F4">
            <w:pPr>
              <w:pStyle w:val="a3"/>
              <w:rPr>
                <w:rFonts w:hint="eastAsia"/>
                <w:lang w:eastAsia="zh-CN"/>
              </w:rPr>
            </w:pPr>
          </w:p>
        </w:tc>
        <w:tc>
          <w:tcPr>
            <w:tcW w:w="3368" w:type="dxa"/>
            <w:tcBorders>
              <w:top w:val="single" w:sz="6" w:space="0" w:color="000000"/>
              <w:left w:val="single" w:sz="6" w:space="0" w:color="000000"/>
              <w:bottom w:val="single" w:sz="6" w:space="0" w:color="000000"/>
              <w:right w:val="single" w:sz="12" w:space="0" w:color="747474"/>
            </w:tcBorders>
            <w:tcMar>
              <w:top w:w="0" w:type="dxa"/>
              <w:left w:w="0" w:type="dxa"/>
              <w:bottom w:w="0" w:type="dxa"/>
              <w:right w:w="0" w:type="dxa"/>
            </w:tcMar>
            <w:vAlign w:val="center"/>
          </w:tcPr>
          <w:p w14:paraId="0EDD5518" w14:textId="77777777" w:rsidR="00B63F7B" w:rsidRDefault="005A0A7B">
            <w:pPr>
              <w:pStyle w:val="a3"/>
            </w:pPr>
            <w:r>
              <w:t> </w:t>
            </w:r>
          </w:p>
        </w:tc>
      </w:tr>
      <w:tr w:rsidR="00B63F7B" w14:paraId="6C97879C" w14:textId="77777777">
        <w:trPr>
          <w:trHeight w:val="330"/>
        </w:trPr>
        <w:tc>
          <w:tcPr>
            <w:tcW w:w="2261" w:type="dxa"/>
            <w:tcBorders>
              <w:top w:val="single" w:sz="6" w:space="0" w:color="000000"/>
              <w:left w:val="single" w:sz="12" w:space="0" w:color="747474"/>
              <w:bottom w:val="single" w:sz="12" w:space="0" w:color="747474"/>
              <w:right w:val="single" w:sz="12" w:space="0" w:color="747474"/>
            </w:tcBorders>
            <w:shd w:val="clear" w:color="auto" w:fill="F7F7F7"/>
            <w:tcMar>
              <w:top w:w="0" w:type="dxa"/>
              <w:left w:w="0" w:type="dxa"/>
              <w:bottom w:w="0" w:type="dxa"/>
              <w:right w:w="0" w:type="dxa"/>
            </w:tcMar>
            <w:vAlign w:val="center"/>
          </w:tcPr>
          <w:p w14:paraId="5A94200A" w14:textId="77777777" w:rsidR="00B63F7B" w:rsidRDefault="005A0A7B">
            <w:pPr>
              <w:pStyle w:val="a3"/>
            </w:pPr>
            <w:r>
              <w:rPr>
                <w:rStyle w:val="VarsaylanParagrafYazTipi"/>
                <w:b/>
                <w:bCs/>
                <w:sz w:val="22"/>
              </w:rPr>
              <w:t>Reviewer</w:t>
            </w:r>
            <w:r>
              <w:rPr>
                <w:rStyle w:val="VarsaylanParagrafYazTipi"/>
                <w:b/>
                <w:sz w:val="22"/>
              </w:rPr>
              <w:t> </w:t>
            </w:r>
          </w:p>
        </w:tc>
        <w:tc>
          <w:tcPr>
            <w:tcW w:w="3429" w:type="dxa"/>
            <w:tcBorders>
              <w:top w:val="single" w:sz="6" w:space="0" w:color="000000"/>
              <w:left w:val="single" w:sz="12" w:space="0" w:color="747474"/>
              <w:bottom w:val="single" w:sz="12" w:space="0" w:color="747474"/>
              <w:right w:val="single" w:sz="6" w:space="0" w:color="000000"/>
            </w:tcBorders>
            <w:tcMar>
              <w:top w:w="0" w:type="dxa"/>
              <w:left w:w="0" w:type="dxa"/>
              <w:bottom w:w="0" w:type="dxa"/>
              <w:right w:w="0" w:type="dxa"/>
            </w:tcMar>
            <w:vAlign w:val="center"/>
          </w:tcPr>
          <w:p w14:paraId="7F9E13B1" w14:textId="3D4AD57C" w:rsidR="00B63F7B" w:rsidRDefault="00B63F7B">
            <w:pPr>
              <w:pStyle w:val="a3"/>
              <w:rPr>
                <w:rFonts w:hint="eastAsia"/>
                <w:lang w:eastAsia="zh-CN"/>
              </w:rPr>
            </w:pPr>
          </w:p>
        </w:tc>
        <w:tc>
          <w:tcPr>
            <w:tcW w:w="3368" w:type="dxa"/>
            <w:tcBorders>
              <w:top w:val="single" w:sz="6" w:space="0" w:color="000000"/>
              <w:left w:val="single" w:sz="6" w:space="0" w:color="000000"/>
              <w:bottom w:val="single" w:sz="12" w:space="0" w:color="747474"/>
              <w:right w:val="single" w:sz="12" w:space="0" w:color="747474"/>
            </w:tcBorders>
            <w:tcMar>
              <w:top w:w="0" w:type="dxa"/>
              <w:left w:w="0" w:type="dxa"/>
              <w:bottom w:w="0" w:type="dxa"/>
              <w:right w:w="0" w:type="dxa"/>
            </w:tcMar>
            <w:vAlign w:val="center"/>
          </w:tcPr>
          <w:p w14:paraId="6E667B5D" w14:textId="77777777" w:rsidR="00B63F7B" w:rsidRDefault="005A0A7B">
            <w:pPr>
              <w:pStyle w:val="a3"/>
            </w:pPr>
            <w:r>
              <w:t> </w:t>
            </w:r>
          </w:p>
        </w:tc>
      </w:tr>
    </w:tbl>
    <w:p w14:paraId="0C3A4A03" w14:textId="77777777" w:rsidR="006F5E68" w:rsidRDefault="006F5E68">
      <w:pPr>
        <w:sectPr w:rsidR="006F5E68">
          <w:headerReference w:type="default" r:id="rId11"/>
          <w:footerReference w:type="default" r:id="rId12"/>
          <w:pgSz w:w="11907" w:h="16840"/>
          <w:pgMar w:top="1440" w:right="1418" w:bottom="1440" w:left="1418" w:header="720" w:footer="720" w:gutter="0"/>
          <w:cols w:space="720"/>
        </w:sectPr>
      </w:pPr>
    </w:p>
    <w:p w14:paraId="3335FC94" w14:textId="77777777" w:rsidR="00B63F7B" w:rsidRDefault="005A0A7B">
      <w:pPr>
        <w:pStyle w:val="a3"/>
      </w:pPr>
      <w:r>
        <w:lastRenderedPageBreak/>
        <w:t>This plan is a living document and will be updated during the project.  The aim of the plan is to confirm the business case for the project and describe the partner activities towards exploitation of the results of the project so that 1) changes in the commercial environment can be monitored and accounted for, 2) adequate resources are committed to exploitation and 3) so that exploitation can be monitored by the stakeholders.</w:t>
      </w:r>
    </w:p>
    <w:p w14:paraId="3927890A" w14:textId="77777777" w:rsidR="00B63F7B" w:rsidRDefault="005A0A7B">
      <w:pPr>
        <w:pStyle w:val="1"/>
      </w:pPr>
      <w:r>
        <w:rPr>
          <w:rStyle w:val="VarsaylanParagrafYazTipi"/>
          <w:rFonts w:ascii="Arial" w:hAnsi="Arial" w:cs="Arial"/>
          <w:sz w:val="28"/>
          <w:szCs w:val="28"/>
        </w:rPr>
        <w:t>Business Case</w:t>
      </w:r>
    </w:p>
    <w:p w14:paraId="3CC12537" w14:textId="77777777" w:rsidR="00B63F7B" w:rsidRDefault="005A0A7B">
      <w:pPr>
        <w:pStyle w:val="2"/>
      </w:pPr>
      <w:r>
        <w:t>Partners’ capability to develop and exploit the technology</w:t>
      </w:r>
    </w:p>
    <w:tbl>
      <w:tblPr>
        <w:tblW w:w="9061" w:type="dxa"/>
        <w:tblCellMar>
          <w:left w:w="10" w:type="dxa"/>
          <w:right w:w="10" w:type="dxa"/>
        </w:tblCellMar>
        <w:tblLook w:val="04A0" w:firstRow="1" w:lastRow="0" w:firstColumn="1" w:lastColumn="0" w:noHBand="0" w:noVBand="1"/>
      </w:tblPr>
      <w:tblGrid>
        <w:gridCol w:w="9061"/>
      </w:tblGrid>
      <w:tr w:rsidR="00B63F7B" w14:paraId="7AFD0909" w14:textId="77777777">
        <w:tc>
          <w:tcPr>
            <w:tcW w:w="9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BD8DFD" w14:textId="77777777" w:rsidR="00B63F7B" w:rsidRDefault="005A0A7B">
            <w:pPr>
              <w:pStyle w:val="a3"/>
              <w:rPr>
                <w:b/>
                <w:bCs/>
              </w:rPr>
            </w:pPr>
            <w:r>
              <w:rPr>
                <w:b/>
                <w:bCs/>
              </w:rPr>
              <w:t>Summarise the Technical Approach to be taken</w:t>
            </w:r>
          </w:p>
        </w:tc>
      </w:tr>
      <w:tr w:rsidR="00B63F7B" w14:paraId="72307F10" w14:textId="77777777">
        <w:trPr>
          <w:trHeight w:val="2938"/>
        </w:trPr>
        <w:tc>
          <w:tcPr>
            <w:tcW w:w="9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508E36" w14:textId="77777777" w:rsidR="00B63F7B" w:rsidRDefault="005A0A7B">
            <w:pPr>
              <w:pStyle w:val="a3"/>
              <w:rPr>
                <w:b/>
                <w:bCs/>
                <w:u w:val="single"/>
              </w:rPr>
            </w:pPr>
            <w:r>
              <w:rPr>
                <w:b/>
                <w:bCs/>
                <w:u w:val="single"/>
              </w:rPr>
              <w:t>ALPATA:</w:t>
            </w:r>
          </w:p>
          <w:p w14:paraId="256C95D8" w14:textId="77777777" w:rsidR="00B63F7B" w:rsidRDefault="005A0A7B">
            <w:pPr>
              <w:pStyle w:val="a3"/>
            </w:pPr>
            <w:r>
              <w:rPr>
                <w:rStyle w:val="VarsaylanParagrafYazTipi"/>
              </w:rPr>
              <w:t>The technical approach focuses on integrating operational warehouse data with digital twin representations and analytical tools to support decision-making in aviation logistics operations.</w:t>
            </w:r>
          </w:p>
          <w:p w14:paraId="51BD4C58" w14:textId="77777777" w:rsidR="00B63F7B" w:rsidRDefault="005A0A7B">
            <w:pPr>
              <w:pStyle w:val="a3"/>
            </w:pPr>
            <w:r>
              <w:t xml:space="preserve">Operational data from warehouse management systems will be used to maintain a digital representation of warehouse activities, including inventory levels, storage utilisation, and shipment preparation status. Analytical methods will then be applied to historical and operational data </w:t>
            </w:r>
            <w:proofErr w:type="gramStart"/>
            <w:r>
              <w:t>in order to</w:t>
            </w:r>
            <w:proofErr w:type="gramEnd"/>
            <w:r>
              <w:t xml:space="preserve"> support demand estimation, inventory planning, and shipment preparation.</w:t>
            </w:r>
          </w:p>
          <w:p w14:paraId="6626B3BE" w14:textId="77777777" w:rsidR="00B63F7B" w:rsidRDefault="005A0A7B">
            <w:pPr>
              <w:pStyle w:val="a3"/>
            </w:pPr>
            <w:r>
              <w:t>In addition, optimisation approaches will be explored to assist warehouse staff in determining efficient palletisation and loading configurations while considering item dimensions, handling constraints, and transportation requirements.</w:t>
            </w:r>
          </w:p>
          <w:p w14:paraId="75CA6FD0" w14:textId="77777777" w:rsidR="00B63F7B" w:rsidRDefault="00B63F7B">
            <w:pPr>
              <w:pStyle w:val="a3"/>
            </w:pPr>
          </w:p>
        </w:tc>
      </w:tr>
    </w:tbl>
    <w:p w14:paraId="4987766F" w14:textId="77777777" w:rsidR="00B63F7B" w:rsidRDefault="00B63F7B">
      <w:pPr>
        <w:pStyle w:val="a3"/>
      </w:pPr>
    </w:p>
    <w:tbl>
      <w:tblPr>
        <w:tblW w:w="9061" w:type="dxa"/>
        <w:tblCellMar>
          <w:left w:w="10" w:type="dxa"/>
          <w:right w:w="10" w:type="dxa"/>
        </w:tblCellMar>
        <w:tblLook w:val="04A0" w:firstRow="1" w:lastRow="0" w:firstColumn="1" w:lastColumn="0" w:noHBand="0" w:noVBand="1"/>
      </w:tblPr>
      <w:tblGrid>
        <w:gridCol w:w="9061"/>
      </w:tblGrid>
      <w:tr w:rsidR="00B63F7B" w14:paraId="1B2F6001" w14:textId="77777777">
        <w:tc>
          <w:tcPr>
            <w:tcW w:w="9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D75045" w14:textId="77777777" w:rsidR="00B63F7B" w:rsidRDefault="005A0A7B">
            <w:pPr>
              <w:pStyle w:val="a3"/>
              <w:rPr>
                <w:b/>
                <w:bCs/>
              </w:rPr>
            </w:pPr>
            <w:r>
              <w:rPr>
                <w:b/>
                <w:bCs/>
              </w:rPr>
              <w:t>Summarise the innovative aspects of the project, are they still innovative?</w:t>
            </w:r>
          </w:p>
        </w:tc>
      </w:tr>
      <w:tr w:rsidR="00B63F7B" w14:paraId="6824E4E3" w14:textId="77777777">
        <w:trPr>
          <w:trHeight w:val="2936"/>
        </w:trPr>
        <w:tc>
          <w:tcPr>
            <w:tcW w:w="9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82C070" w14:textId="77777777" w:rsidR="00B63F7B" w:rsidRDefault="005A0A7B">
            <w:pPr>
              <w:pStyle w:val="a3"/>
              <w:rPr>
                <w:b/>
                <w:bCs/>
                <w:u w:val="single"/>
              </w:rPr>
            </w:pPr>
            <w:r>
              <w:rPr>
                <w:b/>
                <w:bCs/>
                <w:u w:val="single"/>
              </w:rPr>
              <w:t>ALPATA:</w:t>
            </w:r>
          </w:p>
          <w:p w14:paraId="4A1D3365" w14:textId="77777777" w:rsidR="00B63F7B" w:rsidRDefault="005A0A7B">
            <w:pPr>
              <w:pStyle w:val="a3"/>
            </w:pPr>
            <w:r>
              <w:rPr>
                <w:rStyle w:val="VarsaylanParagrafYazTipi"/>
              </w:rPr>
              <w:t>The project introduces an integrated approach that combines digital twin representations of logistics operations with data analytics and optimisation methods.</w:t>
            </w:r>
          </w:p>
          <w:p w14:paraId="5D49980F" w14:textId="77777777" w:rsidR="00B63F7B" w:rsidRDefault="005A0A7B">
            <w:pPr>
              <w:pStyle w:val="a3"/>
            </w:pPr>
            <w:r>
              <w:t>Rather than focusing on isolated warehouse functions, the approach considers the interaction between inventory management, shipment preparation, and transportation planning. This enables improved operational visibility and supports more consistent decision-making across warehouse and logistics activities.</w:t>
            </w:r>
          </w:p>
          <w:p w14:paraId="6B5B66A4" w14:textId="77777777" w:rsidR="00B63F7B" w:rsidRDefault="005A0A7B">
            <w:pPr>
              <w:pStyle w:val="a3"/>
            </w:pPr>
            <w:r>
              <w:t>The use of digital twins to maintain an up-to-date representation of warehouse operations and to support analytical decision tools represents a promising direction for improving efficiency and sustainability in industrial supply chains.</w:t>
            </w:r>
          </w:p>
          <w:p w14:paraId="2C7D90B3" w14:textId="77777777" w:rsidR="00B63F7B" w:rsidRDefault="00B63F7B">
            <w:pPr>
              <w:pStyle w:val="a3"/>
            </w:pPr>
          </w:p>
        </w:tc>
      </w:tr>
    </w:tbl>
    <w:p w14:paraId="6A6DCBB4" w14:textId="77777777" w:rsidR="00B63F7B" w:rsidRDefault="00B63F7B">
      <w:pPr>
        <w:pStyle w:val="a3"/>
      </w:pPr>
    </w:p>
    <w:tbl>
      <w:tblPr>
        <w:tblW w:w="9061" w:type="dxa"/>
        <w:tblCellMar>
          <w:left w:w="10" w:type="dxa"/>
          <w:right w:w="10" w:type="dxa"/>
        </w:tblCellMar>
        <w:tblLook w:val="04A0" w:firstRow="1" w:lastRow="0" w:firstColumn="1" w:lastColumn="0" w:noHBand="0" w:noVBand="1"/>
      </w:tblPr>
      <w:tblGrid>
        <w:gridCol w:w="9061"/>
      </w:tblGrid>
      <w:tr w:rsidR="00B63F7B" w14:paraId="78095B0C" w14:textId="77777777">
        <w:tc>
          <w:tcPr>
            <w:tcW w:w="9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2CA02B" w14:textId="77777777" w:rsidR="00B63F7B" w:rsidRDefault="005A0A7B">
            <w:pPr>
              <w:pStyle w:val="a3"/>
              <w:rPr>
                <w:b/>
                <w:bCs/>
              </w:rPr>
            </w:pPr>
            <w:r>
              <w:rPr>
                <w:b/>
                <w:bCs/>
              </w:rPr>
              <w:t>Explain the roles of each of the consortium members highlighting the necessary skills and experience</w:t>
            </w:r>
          </w:p>
        </w:tc>
      </w:tr>
      <w:tr w:rsidR="00B63F7B" w14:paraId="5F98B5BE" w14:textId="77777777">
        <w:trPr>
          <w:trHeight w:val="2630"/>
        </w:trPr>
        <w:tc>
          <w:tcPr>
            <w:tcW w:w="9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F6DBDD" w14:textId="77777777" w:rsidR="00B63F7B" w:rsidRPr="006D296D" w:rsidRDefault="005A0A7B">
            <w:pPr>
              <w:pStyle w:val="a3"/>
              <w:rPr>
                <w:b/>
                <w:bCs/>
                <w:u w:val="single"/>
              </w:rPr>
            </w:pPr>
            <w:r w:rsidRPr="006D296D">
              <w:rPr>
                <w:b/>
                <w:bCs/>
                <w:u w:val="single"/>
              </w:rPr>
              <w:t>ALPATA:</w:t>
            </w:r>
          </w:p>
          <w:p w14:paraId="2E5D748B" w14:textId="77777777" w:rsidR="00B63F7B" w:rsidRPr="006D296D" w:rsidRDefault="005A0A7B">
            <w:pPr>
              <w:pStyle w:val="a3"/>
            </w:pPr>
            <w:proofErr w:type="spellStart"/>
            <w:r w:rsidRPr="006D296D">
              <w:rPr>
                <w:rStyle w:val="VarsaylanParagrafYazTipi"/>
              </w:rPr>
              <w:t>Alpata</w:t>
            </w:r>
            <w:proofErr w:type="spellEnd"/>
            <w:r w:rsidRPr="006D296D">
              <w:rPr>
                <w:rStyle w:val="VarsaylanParagrafYazTipi"/>
              </w:rPr>
              <w:t xml:space="preserve"> contributes to the project through the aviation logistics use case. The company focuses on the analysis and optimisation of external warehouse operations supporting aviation supply chains.</w:t>
            </w:r>
          </w:p>
          <w:p w14:paraId="524CC85E" w14:textId="77777777" w:rsidR="00B63F7B" w:rsidRPr="006D296D" w:rsidRDefault="005A0A7B">
            <w:pPr>
              <w:pStyle w:val="a3"/>
            </w:pPr>
            <w:proofErr w:type="spellStart"/>
            <w:r w:rsidRPr="006D296D">
              <w:t>Alpata’s</w:t>
            </w:r>
            <w:proofErr w:type="spellEnd"/>
            <w:r w:rsidRPr="006D296D">
              <w:t xml:space="preserve"> activities include the modelling of warehouse operations within a digital twin environment, analysis of inventory and shipment preparation data, and the exploration of analytical approaches that support demand estimation, inventory planning, and shipment consolidation.</w:t>
            </w:r>
          </w:p>
          <w:p w14:paraId="66AFB01D" w14:textId="77777777" w:rsidR="00B63F7B" w:rsidRPr="006D296D" w:rsidRDefault="005A0A7B">
            <w:pPr>
              <w:pStyle w:val="a3"/>
            </w:pPr>
            <w:r w:rsidRPr="006D296D">
              <w:t xml:space="preserve">Through this work, </w:t>
            </w:r>
            <w:proofErr w:type="spellStart"/>
            <w:r w:rsidRPr="006D296D">
              <w:t>Alpata</w:t>
            </w:r>
            <w:proofErr w:type="spellEnd"/>
            <w:r w:rsidRPr="006D296D">
              <w:t xml:space="preserve"> contributes practical operational insights and helps ensure that the developed technologies are aligned with real logistics requirements.</w:t>
            </w:r>
          </w:p>
          <w:p w14:paraId="7D042CF0" w14:textId="77777777" w:rsidR="00B63F7B" w:rsidRPr="006D296D" w:rsidRDefault="00B63F7B">
            <w:pPr>
              <w:pStyle w:val="a3"/>
            </w:pPr>
          </w:p>
          <w:p w14:paraId="243CDC50" w14:textId="77777777" w:rsidR="00B63F7B" w:rsidRPr="006D296D" w:rsidRDefault="005A0A7B">
            <w:pPr>
              <w:pStyle w:val="a3"/>
              <w:rPr>
                <w:b/>
                <w:bCs/>
                <w:u w:val="single"/>
              </w:rPr>
            </w:pPr>
            <w:proofErr w:type="spellStart"/>
            <w:r w:rsidRPr="006D296D">
              <w:rPr>
                <w:b/>
                <w:bCs/>
                <w:u w:val="single"/>
              </w:rPr>
              <w:t>Netcad</w:t>
            </w:r>
            <w:proofErr w:type="spellEnd"/>
          </w:p>
          <w:p w14:paraId="4DDCBCE8" w14:textId="77777777" w:rsidR="00B63F7B" w:rsidRPr="006D296D" w:rsidRDefault="005A0A7B">
            <w:pPr>
              <w:pStyle w:val="a3"/>
            </w:pPr>
            <w:proofErr w:type="spellStart"/>
            <w:r w:rsidRPr="006D296D">
              <w:lastRenderedPageBreak/>
              <w:t>Netcad</w:t>
            </w:r>
            <w:proofErr w:type="spellEnd"/>
            <w:r w:rsidRPr="006D296D">
              <w:t xml:space="preserve"> contributes to VISION through its long-established expertise in Geographic Information Systems (GIS), smart city platforms, engineering software, spatial analytics and digital transformation solutions. Within the project, </w:t>
            </w:r>
            <w:proofErr w:type="spellStart"/>
            <w:r w:rsidRPr="006D296D">
              <w:t>Netcad’s</w:t>
            </w:r>
            <w:proofErr w:type="spellEnd"/>
            <w:r w:rsidRPr="006D296D">
              <w:t xml:space="preserve"> role is focused on the geospatial and operational intelligence layer of the VISION solution, particularly in use cases where transport optimisation, mining-related route planning, sustainability-aware logistics, spatially enabled monitoring and infrastructure-linked decision support are required. </w:t>
            </w:r>
            <w:proofErr w:type="spellStart"/>
            <w:r w:rsidRPr="006D296D">
              <w:t>Netcad</w:t>
            </w:r>
            <w:proofErr w:type="spellEnd"/>
            <w:r w:rsidRPr="006D296D">
              <w:t xml:space="preserve"> will support the design and implementation of the Digital Transport Twin, contribute to real-time data collection and transformation workflows, and help integrate these data streams into a holistic visualisation and analytics environment. In addition, </w:t>
            </w:r>
            <w:proofErr w:type="spellStart"/>
            <w:r w:rsidRPr="006D296D">
              <w:t>Netcad</w:t>
            </w:r>
            <w:proofErr w:type="spellEnd"/>
            <w:r w:rsidRPr="006D296D">
              <w:t xml:space="preserve"> will contribute to net-zero information modelling, optimisation models, API-level integration support, route guidance functions, and 3D positioning-related software support for AR-based operational environments. This role is backed by </w:t>
            </w:r>
            <w:proofErr w:type="spellStart"/>
            <w:r w:rsidRPr="006D296D">
              <w:t>Netcad’s</w:t>
            </w:r>
            <w:proofErr w:type="spellEnd"/>
            <w:r w:rsidRPr="006D296D">
              <w:t xml:space="preserve"> extensive product experience, strong know-how in public-sector and infrastructure-oriented deployments, and its long-standing presence in GIS and smart city markets.</w:t>
            </w:r>
          </w:p>
          <w:p w14:paraId="2847F3F0" w14:textId="77777777" w:rsidR="00B63F7B" w:rsidRPr="006D296D" w:rsidRDefault="00B63F7B">
            <w:pPr>
              <w:pStyle w:val="a3"/>
            </w:pPr>
          </w:p>
          <w:p w14:paraId="6B6607FD" w14:textId="77777777" w:rsidR="00B63F7B" w:rsidRPr="006D296D" w:rsidRDefault="005A0A7B">
            <w:pPr>
              <w:pStyle w:val="a3"/>
            </w:pPr>
            <w:proofErr w:type="spellStart"/>
            <w:r w:rsidRPr="006D296D">
              <w:rPr>
                <w:rStyle w:val="a4"/>
                <w:rFonts w:eastAsia="Arial"/>
                <w:b/>
                <w:bCs/>
                <w:u w:val="single"/>
              </w:rPr>
              <w:t>MetaReal</w:t>
            </w:r>
            <w:proofErr w:type="spellEnd"/>
            <w:r w:rsidRPr="006D296D">
              <w:rPr>
                <w:rStyle w:val="a4"/>
                <w:rFonts w:eastAsia="Arial"/>
                <w:b/>
                <w:bCs/>
                <w:u w:val="single"/>
              </w:rPr>
              <w:t>:</w:t>
            </w:r>
          </w:p>
          <w:p w14:paraId="444D71E4" w14:textId="77777777" w:rsidR="00B63F7B" w:rsidRPr="006D296D" w:rsidRDefault="005A0A7B">
            <w:pPr>
              <w:pStyle w:val="a3"/>
            </w:pPr>
            <w:proofErr w:type="spellStart"/>
            <w:r w:rsidRPr="006D296D">
              <w:rPr>
                <w:rStyle w:val="a4"/>
                <w:rFonts w:eastAsia="Arial"/>
              </w:rPr>
              <w:t>MetaReal</w:t>
            </w:r>
            <w:proofErr w:type="spellEnd"/>
            <w:r w:rsidRPr="006D296D">
              <w:rPr>
                <w:rStyle w:val="a4"/>
                <w:rFonts w:eastAsia="Arial"/>
              </w:rPr>
              <w:t xml:space="preserve"> is a Korean technology company specializing in Ultra-Wideband (UWB) Real-Time Location Systems (RTLS). Our mission is to provide highly accurate indoor positioning information for logistics </w:t>
            </w:r>
            <w:proofErr w:type="spellStart"/>
            <w:r w:rsidRPr="006D296D">
              <w:rPr>
                <w:rStyle w:val="a4"/>
                <w:rFonts w:eastAsia="Arial"/>
              </w:rPr>
              <w:t>centers</w:t>
            </w:r>
            <w:proofErr w:type="spellEnd"/>
            <w:r w:rsidRPr="006D296D">
              <w:rPr>
                <w:rStyle w:val="a4"/>
                <w:rFonts w:eastAsia="Arial"/>
              </w:rPr>
              <w:t>, smart factories and industrial facilities where conventional GPS technologies cannot operate effectively.</w:t>
            </w:r>
          </w:p>
          <w:p w14:paraId="6A1710C4" w14:textId="77777777" w:rsidR="00B63F7B" w:rsidRPr="006D296D" w:rsidRDefault="005A0A7B">
            <w:pPr>
              <w:pStyle w:val="a3"/>
            </w:pPr>
            <w:proofErr w:type="spellStart"/>
            <w:r w:rsidRPr="006D296D">
              <w:rPr>
                <w:rStyle w:val="a4"/>
                <w:rFonts w:eastAsia="Arial"/>
              </w:rPr>
              <w:t>MetaReal</w:t>
            </w:r>
            <w:proofErr w:type="spellEnd"/>
            <w:r w:rsidRPr="006D296D">
              <w:rPr>
                <w:rStyle w:val="a4"/>
                <w:rFonts w:eastAsia="Arial"/>
              </w:rPr>
              <w:t xml:space="preserve"> has developed its own UWB RTLS technology, including UWB Anchors, UWB Tags, RTLS Server Software. Our solution delivers approximately 20cm-level positioning accuracy while supporting real-time tracking of workers, forklifts, AMRs, AGVs, mobile assets, and logistics equipment.</w:t>
            </w:r>
          </w:p>
          <w:p w14:paraId="11EB2059" w14:textId="77777777" w:rsidR="00B63F7B" w:rsidRPr="006D296D" w:rsidRDefault="005A0A7B">
            <w:pPr>
              <w:pStyle w:val="a3"/>
            </w:pPr>
            <w:r w:rsidRPr="006D296D">
              <w:rPr>
                <w:rStyle w:val="a4"/>
                <w:rFonts w:eastAsia="Arial"/>
              </w:rPr>
              <w:t xml:space="preserve">One of our core technologies is an advanced positioning algorithm designed to improve accuracy in challenging industrial environments. Warehouses and factories often contain steel racks, machinery, and obstacles that generate severe NLOS (Non-Line-of-Sight) conditions and multipath interference. </w:t>
            </w:r>
            <w:proofErr w:type="spellStart"/>
            <w:r w:rsidRPr="006D296D">
              <w:rPr>
                <w:rStyle w:val="a4"/>
                <w:rFonts w:eastAsia="Arial"/>
              </w:rPr>
              <w:t>MetaReal</w:t>
            </w:r>
            <w:proofErr w:type="spellEnd"/>
            <w:r w:rsidRPr="006D296D">
              <w:rPr>
                <w:rStyle w:val="a4"/>
                <w:rFonts w:eastAsia="Arial"/>
              </w:rPr>
              <w:t xml:space="preserve"> addresses these challenges by combining UWB positioning with IMU sensor data and AI-based correction algorithms, significantly improving positioning stability and reliability in complex environments.</w:t>
            </w:r>
          </w:p>
          <w:p w14:paraId="0444B474" w14:textId="77777777" w:rsidR="00B63F7B" w:rsidRPr="006D296D" w:rsidRDefault="005A0A7B">
            <w:pPr>
              <w:pStyle w:val="a3"/>
            </w:pPr>
            <w:r w:rsidRPr="006D296D">
              <w:rPr>
                <w:rStyle w:val="a4"/>
                <w:rFonts w:eastAsia="Arial"/>
              </w:rPr>
              <w:t xml:space="preserve">Looking forward, </w:t>
            </w:r>
            <w:proofErr w:type="spellStart"/>
            <w:r w:rsidRPr="006D296D">
              <w:rPr>
                <w:rStyle w:val="a4"/>
                <w:rFonts w:eastAsia="Arial"/>
              </w:rPr>
              <w:t>MetaReal</w:t>
            </w:r>
            <w:proofErr w:type="spellEnd"/>
            <w:r w:rsidRPr="006D296D">
              <w:rPr>
                <w:rStyle w:val="a4"/>
                <w:rFonts w:eastAsia="Arial"/>
              </w:rPr>
              <w:t xml:space="preserve"> aims to expand its technology toward AI-powered Spatial Intelligence by integrating UWB positioning with Digital Twin, edge AI, autonomous robots, AMRs, humanoid robots, and Industrial IoT systems. Through collaboration with our European partners, we expect to establish next-generation intelligent logistics and smart manufacturing platforms that support Industry 4.0 and future Physical AI applications.</w:t>
            </w:r>
          </w:p>
          <w:p w14:paraId="5ACB6981" w14:textId="77777777" w:rsidR="00B63F7B" w:rsidRPr="006D296D" w:rsidRDefault="005A0A7B">
            <w:pPr>
              <w:pStyle w:val="a3"/>
            </w:pPr>
            <w:r w:rsidRPr="006D296D">
              <w:rPr>
                <w:rStyle w:val="a4"/>
                <w:rFonts w:eastAsia="Arial"/>
              </w:rPr>
              <w:t xml:space="preserve">We believe the complementary strengths of </w:t>
            </w:r>
            <w:proofErr w:type="spellStart"/>
            <w:r w:rsidRPr="006D296D">
              <w:rPr>
                <w:rStyle w:val="a4"/>
                <w:rFonts w:eastAsia="Arial"/>
              </w:rPr>
              <w:t>MetaReal's</w:t>
            </w:r>
            <w:proofErr w:type="spellEnd"/>
            <w:r w:rsidRPr="006D296D">
              <w:rPr>
                <w:rStyle w:val="a4"/>
                <w:rFonts w:eastAsia="Arial"/>
              </w:rPr>
              <w:t xml:space="preserve"> precision positioning technologies and our European partners' expertise in logistics, manufacturing, and digital transformation will create significant opportunities for joint research, pilot demonstrations, and commercialization across Europe and global </w:t>
            </w:r>
            <w:proofErr w:type="gramStart"/>
            <w:r w:rsidRPr="006D296D">
              <w:rPr>
                <w:rStyle w:val="a4"/>
                <w:rFonts w:eastAsia="Arial"/>
              </w:rPr>
              <w:t>markets..</w:t>
            </w:r>
            <w:proofErr w:type="gramEnd"/>
          </w:p>
          <w:p w14:paraId="489B6FE0" w14:textId="77777777" w:rsidR="00B63F7B" w:rsidRPr="006D296D" w:rsidRDefault="00B63F7B">
            <w:pPr>
              <w:pStyle w:val="a3"/>
              <w:rPr>
                <w:rFonts w:eastAsia="Arial"/>
              </w:rPr>
            </w:pPr>
          </w:p>
          <w:p w14:paraId="0E1FC170" w14:textId="77777777" w:rsidR="00B63F7B" w:rsidRPr="006D296D" w:rsidRDefault="005A0A7B">
            <w:pPr>
              <w:pStyle w:val="a3"/>
            </w:pPr>
            <w:proofErr w:type="spellStart"/>
            <w:r w:rsidRPr="006D296D">
              <w:rPr>
                <w:rStyle w:val="a4"/>
                <w:rFonts w:eastAsia="Arial"/>
                <w:b/>
                <w:bCs/>
                <w:u w:val="single"/>
              </w:rPr>
              <w:t>SimsReality</w:t>
            </w:r>
            <w:proofErr w:type="spellEnd"/>
            <w:r w:rsidRPr="006D296D">
              <w:rPr>
                <w:rStyle w:val="a4"/>
                <w:rFonts w:eastAsia="Arial"/>
                <w:b/>
                <w:bCs/>
                <w:u w:val="single"/>
              </w:rPr>
              <w:t>:</w:t>
            </w:r>
          </w:p>
          <w:p w14:paraId="734CB017" w14:textId="1F453A4C" w:rsidR="00B63F7B" w:rsidRPr="006D296D" w:rsidRDefault="005A0A7B">
            <w:pPr>
              <w:pStyle w:val="a3"/>
            </w:pPr>
            <w:proofErr w:type="spellStart"/>
            <w:r w:rsidRPr="006D296D">
              <w:rPr>
                <w:rStyle w:val="a4"/>
                <w:rFonts w:eastAsia="Arial"/>
              </w:rPr>
              <w:t>SimsReality</w:t>
            </w:r>
            <w:proofErr w:type="spellEnd"/>
            <w:r w:rsidRPr="006D296D">
              <w:rPr>
                <w:rStyle w:val="a4"/>
                <w:rFonts w:eastAsia="Arial"/>
              </w:rPr>
              <w:t xml:space="preserve"> has developed a mobile Augmented Reality application that enables field workers to receive real-time work instructions, operational information, and safety alerts through smartphones and tablets. The application is designed for logistics </w:t>
            </w:r>
            <w:r w:rsidR="001D4435" w:rsidRPr="006D296D">
              <w:rPr>
                <w:rStyle w:val="a4"/>
                <w:rFonts w:eastAsia="Arial"/>
              </w:rPr>
              <w:t>centres</w:t>
            </w:r>
            <w:r w:rsidRPr="006D296D">
              <w:rPr>
                <w:rStyle w:val="a4"/>
                <w:rFonts w:eastAsia="Arial"/>
              </w:rPr>
              <w:t>, smart factories, warehouses, and other industrial environments where workers must quickly understand changing tasks and potential risks while moving around the workplace.</w:t>
            </w:r>
          </w:p>
          <w:p w14:paraId="600C4A5B" w14:textId="77777777" w:rsidR="00B63F7B" w:rsidRPr="006D296D" w:rsidRDefault="005A0A7B">
            <w:pPr>
              <w:pStyle w:val="a3"/>
            </w:pPr>
            <w:r w:rsidRPr="006D296D">
              <w:rPr>
                <w:rStyle w:val="a4"/>
                <w:rFonts w:eastAsia="Arial"/>
              </w:rPr>
              <w:t>The AR application is integrated Digital Twin platform and UWB-based Real-Time Location System. Based on the worker’s current location, assigned task, equipment status, and surrounding operational conditions, the application provides location-specific information directly on the mobile screen. Workers can receive step-by-step work instructions, target asset information, inspection checklists, optimal movement routes, and task completion requests without repeatedly referring to paper documents or separate co</w:t>
            </w:r>
            <w:r w:rsidRPr="006D296D">
              <w:rPr>
                <w:rStyle w:val="a4"/>
                <w:rFonts w:eastAsia="Arial"/>
              </w:rPr>
              <w:t>ntrol terminals.</w:t>
            </w:r>
          </w:p>
          <w:p w14:paraId="528D6364" w14:textId="777DAA9B" w:rsidR="00B63F7B" w:rsidRPr="006D296D" w:rsidRDefault="005A0A7B">
            <w:pPr>
              <w:pStyle w:val="a3"/>
            </w:pPr>
            <w:r w:rsidRPr="006D296D">
              <w:rPr>
                <w:rStyle w:val="a4"/>
                <w:rFonts w:eastAsia="Arial"/>
              </w:rPr>
              <w:t xml:space="preserve">For logistics and manufacturing operations, the application can guide workers to designated storage areas, equipment, materials, or inspection points. It also supports visual work guidance by overlaying arrows, markers, text, images, and equipment information on the real-world camera view. This </w:t>
            </w:r>
            <w:r w:rsidRPr="006D296D">
              <w:rPr>
                <w:rStyle w:val="a4"/>
                <w:rFonts w:eastAsia="Arial"/>
              </w:rPr>
              <w:lastRenderedPageBreak/>
              <w:t xml:space="preserve">helps reduce search time, prevent operational mistakes, standardize work procedures, and improve communication between field workers and control </w:t>
            </w:r>
            <w:r w:rsidR="001D4435" w:rsidRPr="006D296D">
              <w:rPr>
                <w:rStyle w:val="a4"/>
                <w:rFonts w:eastAsia="Arial"/>
              </w:rPr>
              <w:t>centre</w:t>
            </w:r>
            <w:r w:rsidRPr="006D296D">
              <w:rPr>
                <w:rStyle w:val="a4"/>
                <w:rFonts w:eastAsia="Arial"/>
              </w:rPr>
              <w:t xml:space="preserve"> operators.</w:t>
            </w:r>
          </w:p>
          <w:p w14:paraId="152AE778" w14:textId="77777777" w:rsidR="00B63F7B" w:rsidRPr="006D296D" w:rsidRDefault="005A0A7B">
            <w:pPr>
              <w:pStyle w:val="a3"/>
            </w:pPr>
            <w:r w:rsidRPr="006D296D">
              <w:rPr>
                <w:rStyle w:val="a4"/>
                <w:rFonts w:eastAsia="Arial"/>
              </w:rPr>
              <w:t>Safety is another key function of the solution. By combining AR technology with real-time location data, geofencing, and Digital Twin-based monitoring, the application can warn workers when they approach restricted areas, hazardous equipment, moving forklifts, AMRs, or other identified risks. Alerts can be delivered through visual messages, warning icons, sound, and vibration, allowing workers to recognize danger immediately and take preventive action. The system can also provide evacuation routes or emerge</w:t>
            </w:r>
            <w:r w:rsidRPr="006D296D">
              <w:rPr>
                <w:rStyle w:val="a4"/>
                <w:rFonts w:eastAsia="Arial"/>
              </w:rPr>
              <w:t>ncy guidance according to the worker’s location.</w:t>
            </w:r>
          </w:p>
          <w:p w14:paraId="29FEAEE7" w14:textId="77777777" w:rsidR="00B63F7B" w:rsidRPr="006D296D" w:rsidRDefault="005A0A7B">
            <w:pPr>
              <w:pStyle w:val="a3"/>
            </w:pPr>
            <w:r w:rsidRPr="006D296D">
              <w:rPr>
                <w:rStyle w:val="a4"/>
                <w:rFonts w:eastAsia="Arial"/>
              </w:rPr>
              <w:t xml:space="preserve">The application can be customized and integrated with existing WMS, MES, ERP, TOS, IoT, and safety management systems through APIs. </w:t>
            </w:r>
            <w:proofErr w:type="spellStart"/>
            <w:r w:rsidRPr="006D296D">
              <w:rPr>
                <w:rStyle w:val="a4"/>
                <w:rFonts w:eastAsia="Arial"/>
              </w:rPr>
              <w:t>SimsReality</w:t>
            </w:r>
            <w:proofErr w:type="spellEnd"/>
            <w:r w:rsidRPr="006D296D">
              <w:rPr>
                <w:rStyle w:val="a4"/>
                <w:rFonts w:eastAsia="Arial"/>
              </w:rPr>
              <w:t xml:space="preserve"> plans to further enhance the platform with AI-based work recommendations, automatic risk analysis, multilingual guidance, remote expert support, and wearable AR devices. Through cooperation with our partners in the United Kingdom and Türkiye, we aim to conduct joint demonstrations and develop localized AR solutions for logistics, manufacturing, and future Physical AI environments.</w:t>
            </w:r>
          </w:p>
          <w:p w14:paraId="2A889243" w14:textId="77777777" w:rsidR="00B63F7B" w:rsidRPr="006D296D" w:rsidRDefault="00B63F7B">
            <w:pPr>
              <w:pStyle w:val="a3"/>
              <w:rPr>
                <w:rFonts w:eastAsia="Arial"/>
              </w:rPr>
            </w:pPr>
          </w:p>
          <w:p w14:paraId="545FCC9C" w14:textId="77777777" w:rsidR="00B63F7B" w:rsidRPr="006D296D" w:rsidRDefault="005A0A7B">
            <w:pPr>
              <w:pStyle w:val="a3"/>
            </w:pPr>
            <w:r w:rsidRPr="006D296D">
              <w:rPr>
                <w:rStyle w:val="a4"/>
                <w:rFonts w:eastAsia="Arial"/>
                <w:b/>
                <w:bCs/>
                <w:u w:val="single"/>
              </w:rPr>
              <w:t>Hanshin University:</w:t>
            </w:r>
          </w:p>
          <w:p w14:paraId="7A396651" w14:textId="461D7ED2" w:rsidR="00B63F7B" w:rsidRPr="006D296D" w:rsidRDefault="005A0A7B">
            <w:pPr>
              <w:pStyle w:val="a3"/>
            </w:pPr>
            <w:r w:rsidRPr="006D296D">
              <w:rPr>
                <w:rStyle w:val="a4"/>
                <w:rFonts w:eastAsia="Arial"/>
              </w:rPr>
              <w:t xml:space="preserve">Hanshin University is developing an AI-enabled spatial intelligence solution that combines UWB-based real-time positioning and mobile Augmented Reality applications. The solution is designed to improve positioning accuracy, operational efficiency, and worker safety in complex industrial environments such as logistics </w:t>
            </w:r>
            <w:r w:rsidR="001D4435" w:rsidRPr="006D296D">
              <w:rPr>
                <w:rStyle w:val="a4"/>
                <w:rFonts w:eastAsia="Arial"/>
              </w:rPr>
              <w:t>centres</w:t>
            </w:r>
            <w:r w:rsidRPr="006D296D">
              <w:rPr>
                <w:rStyle w:val="a4"/>
                <w:rFonts w:eastAsia="Arial"/>
              </w:rPr>
              <w:t>, smart factories and warehouses.</w:t>
            </w:r>
          </w:p>
          <w:p w14:paraId="071735FA" w14:textId="4D5DA946" w:rsidR="00B63F7B" w:rsidRPr="006D296D" w:rsidRDefault="005A0A7B">
            <w:pPr>
              <w:pStyle w:val="a3"/>
            </w:pPr>
            <w:r w:rsidRPr="006D296D">
              <w:rPr>
                <w:rStyle w:val="a4"/>
                <w:rFonts w:eastAsia="Arial"/>
              </w:rPr>
              <w:t xml:space="preserve">In indoor workplaces, UWB positioning signals can be affected by steel structures, machinery, stacked cargo, walls, and other obstacles. These non-line-of-sight (NLOS) conditions may cause signal reflections, measurement errors, or temporary instability. Hanshin University applies AI algorithms to </w:t>
            </w:r>
            <w:r w:rsidR="008818BB" w:rsidRPr="006D296D">
              <w:rPr>
                <w:rStyle w:val="a4"/>
                <w:rFonts w:eastAsia="Arial"/>
              </w:rPr>
              <w:t>analyse</w:t>
            </w:r>
            <w:r w:rsidRPr="006D296D">
              <w:rPr>
                <w:rStyle w:val="a4"/>
                <w:rFonts w:eastAsia="Arial"/>
              </w:rPr>
              <w:t xml:space="preserve"> UWB ranging data, signal quality, movement patterns, and historical positioning information. The system identifies abnormal measurements and compensates for errors to provide more stable and reliable location data. UWB data can also be combined with IMU sensor information, such as acceleration, direction, and movement status, to maintain positioning continuity when signal conditions deteriorate.</w:t>
            </w:r>
          </w:p>
          <w:p w14:paraId="207E77BD" w14:textId="77777777" w:rsidR="00B63F7B" w:rsidRPr="006D296D" w:rsidRDefault="005A0A7B">
            <w:pPr>
              <w:pStyle w:val="a3"/>
            </w:pPr>
            <w:r w:rsidRPr="006D296D">
              <w:rPr>
                <w:rStyle w:val="a4"/>
                <w:rFonts w:eastAsia="Arial"/>
              </w:rPr>
              <w:t xml:space="preserve">The AI-corrected location data is connected to </w:t>
            </w:r>
            <w:proofErr w:type="spellStart"/>
            <w:r w:rsidRPr="006D296D">
              <w:rPr>
                <w:rStyle w:val="a4"/>
                <w:rFonts w:eastAsia="Arial"/>
              </w:rPr>
              <w:t>MetaReal’s</w:t>
            </w:r>
            <w:proofErr w:type="spellEnd"/>
            <w:r w:rsidRPr="006D296D">
              <w:rPr>
                <w:rStyle w:val="a4"/>
                <w:rFonts w:eastAsia="Arial"/>
              </w:rPr>
              <w:t xml:space="preserve"> UWB software and </w:t>
            </w:r>
            <w:proofErr w:type="spellStart"/>
            <w:r w:rsidRPr="006D296D">
              <w:rPr>
                <w:rStyle w:val="a4"/>
                <w:rFonts w:eastAsia="Arial"/>
              </w:rPr>
              <w:t>SimsReality's</w:t>
            </w:r>
            <w:proofErr w:type="spellEnd"/>
            <w:r w:rsidRPr="006D296D">
              <w:rPr>
                <w:rStyle w:val="a4"/>
                <w:rFonts w:eastAsia="Arial"/>
              </w:rPr>
              <w:t xml:space="preserve"> mobile AR application. Field workers can receive work instructions, destination information, and optimal routes through smartphones or tablets. The route guidance algorithm considers the worker’s current position, assigned task, restricted zones, facility layout, congestion, and the real-time movement of forklifts, AMRs, equipment, and other workers. Unlike fixed route guidance, the system can dynamically recalculate a safer and more efficient route when operational conditions change.</w:t>
            </w:r>
          </w:p>
          <w:p w14:paraId="2EC43ED1" w14:textId="637D03BD" w:rsidR="00B63F7B" w:rsidRPr="006D296D" w:rsidRDefault="005A0A7B">
            <w:pPr>
              <w:pStyle w:val="a3"/>
            </w:pPr>
            <w:r w:rsidRPr="006D296D">
              <w:rPr>
                <w:rStyle w:val="a4"/>
                <w:rFonts w:eastAsia="Arial"/>
              </w:rPr>
              <w:t xml:space="preserve">AI technology is also applied to accident prevention. The system continuously </w:t>
            </w:r>
            <w:r w:rsidR="008818BB" w:rsidRPr="006D296D">
              <w:rPr>
                <w:rStyle w:val="a4"/>
                <w:rFonts w:eastAsia="Arial"/>
              </w:rPr>
              <w:t>analyses</w:t>
            </w:r>
            <w:r w:rsidRPr="006D296D">
              <w:rPr>
                <w:rStyle w:val="a4"/>
                <w:rFonts w:eastAsia="Arial"/>
              </w:rPr>
              <w:t xml:space="preserve"> the position, direction, speed, and movement patterns of workers and mobile equipment. Based on this information, it can detect potentially dangerous situations, including approaching forklifts, entry into restricted areas, unsafe proximity between workers and equipment, abnormal movement, and possible collision paths. When a risk is identified, the AR application immediately provides visual, audio, and vibration alerts and can recommend an alternative route or safety action.</w:t>
            </w:r>
          </w:p>
          <w:p w14:paraId="39AA9166" w14:textId="77777777" w:rsidR="00B63F7B" w:rsidRPr="006D296D" w:rsidRDefault="00B63F7B">
            <w:pPr>
              <w:pStyle w:val="a3"/>
            </w:pPr>
          </w:p>
        </w:tc>
      </w:tr>
    </w:tbl>
    <w:p w14:paraId="00812301" w14:textId="77777777" w:rsidR="00B63F7B" w:rsidRDefault="00B63F7B">
      <w:pPr>
        <w:pStyle w:val="a3"/>
      </w:pPr>
    </w:p>
    <w:p w14:paraId="75287CD5" w14:textId="77777777" w:rsidR="00B63F7B" w:rsidRDefault="005A0A7B">
      <w:pPr>
        <w:pStyle w:val="2"/>
      </w:pPr>
      <w:r>
        <w:t>The market opportunity</w:t>
      </w:r>
    </w:p>
    <w:tbl>
      <w:tblPr>
        <w:tblW w:w="9061" w:type="dxa"/>
        <w:tblCellMar>
          <w:left w:w="10" w:type="dxa"/>
          <w:right w:w="10" w:type="dxa"/>
        </w:tblCellMar>
        <w:tblLook w:val="04A0" w:firstRow="1" w:lastRow="0" w:firstColumn="1" w:lastColumn="0" w:noHBand="0" w:noVBand="1"/>
      </w:tblPr>
      <w:tblGrid>
        <w:gridCol w:w="9061"/>
      </w:tblGrid>
      <w:tr w:rsidR="00B63F7B" w14:paraId="05959B7E" w14:textId="77777777">
        <w:tc>
          <w:tcPr>
            <w:tcW w:w="9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49DC4F" w14:textId="77777777" w:rsidR="00B63F7B" w:rsidRDefault="005A0A7B">
            <w:pPr>
              <w:pStyle w:val="a3"/>
              <w:rPr>
                <w:b/>
                <w:bCs/>
              </w:rPr>
            </w:pPr>
            <w:r>
              <w:rPr>
                <w:b/>
                <w:bCs/>
              </w:rPr>
              <w:t>Summary of Expected Deliverables from Project</w:t>
            </w:r>
          </w:p>
        </w:tc>
      </w:tr>
      <w:tr w:rsidR="00B63F7B" w14:paraId="21FA8CC2" w14:textId="77777777">
        <w:trPr>
          <w:trHeight w:val="3293"/>
        </w:trPr>
        <w:tc>
          <w:tcPr>
            <w:tcW w:w="9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7AED9D" w14:textId="77777777" w:rsidR="00B63F7B" w:rsidRDefault="00B63F7B">
            <w:pPr>
              <w:pStyle w:val="a3"/>
            </w:pPr>
          </w:p>
        </w:tc>
      </w:tr>
    </w:tbl>
    <w:p w14:paraId="23F6B775" w14:textId="77777777" w:rsidR="00B63F7B" w:rsidRDefault="00B63F7B">
      <w:pPr>
        <w:pStyle w:val="a3"/>
      </w:pPr>
    </w:p>
    <w:p w14:paraId="4AE8DA32" w14:textId="77777777" w:rsidR="00B63F7B" w:rsidRDefault="005A0A7B">
      <w:pPr>
        <w:pStyle w:val="3"/>
      </w:pPr>
      <w:r>
        <w:rPr>
          <w:rStyle w:val="VarsaylanParagrafYazTipi"/>
          <w:rFonts w:ascii="Arial" w:hAnsi="Arial" w:cs="Arial"/>
        </w:rPr>
        <w:t>Commercial Opportunity for Each Deliverable</w:t>
      </w:r>
    </w:p>
    <w:tbl>
      <w:tblPr>
        <w:tblW w:w="9214" w:type="dxa"/>
        <w:tblInd w:w="108" w:type="dxa"/>
        <w:tblCellMar>
          <w:left w:w="10" w:type="dxa"/>
          <w:right w:w="10" w:type="dxa"/>
        </w:tblCellMar>
        <w:tblLook w:val="04A0" w:firstRow="1" w:lastRow="0" w:firstColumn="1" w:lastColumn="0" w:noHBand="0" w:noVBand="1"/>
      </w:tblPr>
      <w:tblGrid>
        <w:gridCol w:w="9214"/>
      </w:tblGrid>
      <w:tr w:rsidR="00B63F7B" w14:paraId="572EEF8F" w14:textId="77777777">
        <w:trPr>
          <w:trHeight w:val="455"/>
        </w:trPr>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079012" w14:textId="77777777" w:rsidR="00B63F7B" w:rsidRDefault="005A0A7B">
            <w:pPr>
              <w:pStyle w:val="a3"/>
            </w:pPr>
            <w:r>
              <w:rPr>
                <w:rStyle w:val="VarsaylanParagrafYazTipi"/>
                <w:b/>
                <w:bCs/>
              </w:rPr>
              <w:t xml:space="preserve">For each product, process or service envisaged, identify:  </w:t>
            </w:r>
          </w:p>
        </w:tc>
      </w:tr>
      <w:tr w:rsidR="00B63F7B" w14:paraId="061401AD" w14:textId="77777777">
        <w:trPr>
          <w:trHeight w:val="454"/>
        </w:trPr>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A925CE" w14:textId="77777777" w:rsidR="00B63F7B" w:rsidRDefault="005A0A7B">
            <w:pPr>
              <w:pStyle w:val="a3"/>
              <w:rPr>
                <w:b/>
                <w:bCs/>
              </w:rPr>
            </w:pPr>
            <w:r>
              <w:rPr>
                <w:b/>
                <w:bCs/>
              </w:rPr>
              <w:t>1. The Market Niche for each Outcome</w:t>
            </w:r>
          </w:p>
          <w:p w14:paraId="7A1C160A" w14:textId="77777777" w:rsidR="00B63F7B" w:rsidRDefault="005A0A7B">
            <w:pPr>
              <w:pStyle w:val="a3"/>
              <w:rPr>
                <w:b/>
                <w:bCs/>
                <w:u w:val="single"/>
              </w:rPr>
            </w:pPr>
            <w:r>
              <w:rPr>
                <w:b/>
                <w:bCs/>
                <w:u w:val="single"/>
              </w:rPr>
              <w:t>ALPATA:</w:t>
            </w:r>
          </w:p>
          <w:p w14:paraId="22868568" w14:textId="77777777" w:rsidR="00B63F7B" w:rsidRDefault="005A0A7B">
            <w:pPr>
              <w:pStyle w:val="a3"/>
            </w:pPr>
            <w:r>
              <w:rPr>
                <w:rStyle w:val="VarsaylanParagrafYazTipi"/>
                <w:rFonts w:eastAsia="Arial"/>
              </w:rPr>
              <w:t xml:space="preserve">The market niche for </w:t>
            </w:r>
            <w:proofErr w:type="spellStart"/>
            <w:r>
              <w:rPr>
                <w:rStyle w:val="VarsaylanParagrafYazTipi"/>
                <w:rFonts w:eastAsia="Arial"/>
              </w:rPr>
              <w:t>Alpata’s</w:t>
            </w:r>
            <w:proofErr w:type="spellEnd"/>
            <w:r>
              <w:rPr>
                <w:rStyle w:val="VarsaylanParagrafYazTipi"/>
                <w:rFonts w:eastAsia="Arial"/>
              </w:rPr>
              <w:t xml:space="preserve"> outcomes lies in aviation logistics, warehouse operations, and supply chain optimisation environments where real-time visibility, efficient inventory management, and improved shipment coordination are critical.</w:t>
            </w:r>
          </w:p>
          <w:p w14:paraId="1DB89F5B" w14:textId="77777777" w:rsidR="00B63F7B" w:rsidRDefault="005A0A7B">
            <w:pPr>
              <w:pStyle w:val="a3"/>
            </w:pPr>
            <w:r>
              <w:rPr>
                <w:rStyle w:val="VarsaylanParagrafYazTipi"/>
                <w:rFonts w:eastAsia="Arial"/>
              </w:rPr>
              <w:t>The solutions are particularly relevant for airport logistics operators, warehouse service providers, aviation supply chain stakeholders, and industrial logistics environments that require better coordination between storage, handling, and transportation processes.</w:t>
            </w:r>
          </w:p>
          <w:p w14:paraId="4EC61EDB" w14:textId="77777777" w:rsidR="00B63F7B" w:rsidRDefault="005A0A7B">
            <w:pPr>
              <w:pStyle w:val="a3"/>
              <w:rPr>
                <w:b/>
                <w:bCs/>
                <w:u w:val="single"/>
                <w:lang w:eastAsia="zh-CN"/>
              </w:rPr>
            </w:pPr>
            <w:proofErr w:type="spellStart"/>
            <w:r>
              <w:rPr>
                <w:b/>
                <w:bCs/>
                <w:u w:val="single"/>
                <w:lang w:eastAsia="zh-CN"/>
              </w:rPr>
              <w:t>Netcad</w:t>
            </w:r>
            <w:proofErr w:type="spellEnd"/>
            <w:r>
              <w:rPr>
                <w:b/>
                <w:bCs/>
                <w:u w:val="single"/>
                <w:lang w:eastAsia="zh-CN"/>
              </w:rPr>
              <w:t>:</w:t>
            </w:r>
          </w:p>
          <w:p w14:paraId="219A8543" w14:textId="77777777" w:rsidR="00B63F7B" w:rsidRDefault="005A0A7B">
            <w:pPr>
              <w:pStyle w:val="a3"/>
              <w:rPr>
                <w:lang w:eastAsia="zh-CN"/>
              </w:rPr>
            </w:pPr>
            <w:r>
              <w:rPr>
                <w:lang w:eastAsia="zh-CN"/>
              </w:rPr>
              <w:t xml:space="preserve">The market niche for </w:t>
            </w:r>
            <w:proofErr w:type="spellStart"/>
            <w:r>
              <w:rPr>
                <w:lang w:eastAsia="zh-CN"/>
              </w:rPr>
              <w:t>Netcad’s</w:t>
            </w:r>
            <w:proofErr w:type="spellEnd"/>
            <w:r>
              <w:rPr>
                <w:lang w:eastAsia="zh-CN"/>
              </w:rPr>
              <w:t xml:space="preserve"> VISION-related outcomes lies at the intersection of geospatial digital twins, transport and logistics optimisation, smart mining operations, sustainability-aware planning, and infrastructure-linked operational decision support. From </w:t>
            </w:r>
            <w:proofErr w:type="spellStart"/>
            <w:r>
              <w:rPr>
                <w:lang w:eastAsia="zh-CN"/>
              </w:rPr>
              <w:t>Netcad’s</w:t>
            </w:r>
            <w:proofErr w:type="spellEnd"/>
            <w:r>
              <w:rPr>
                <w:lang w:eastAsia="zh-CN"/>
              </w:rPr>
              <w:t xml:space="preserve"> perspective, the most exploitable outcomes are the Transport Digital Twin-related capabilities, sustainability integration functions, route optimisation and guidance components, and training/support assets that can later be embedded into commercial product and solution packages. These outcomes are particularly relevant for mining companies, infrastructure operators, logistics-intensive industrial environments, public authorities, municipalities and engineering organisations that need to optimise movements,</w:t>
            </w:r>
            <w:r>
              <w:rPr>
                <w:lang w:eastAsia="zh-CN"/>
              </w:rPr>
              <w:t xml:space="preserve"> reduce inefficiencies, improve visibility and support carbon-aware operations through spatially enabled digital systems.</w:t>
            </w:r>
          </w:p>
          <w:p w14:paraId="3FF71CAD" w14:textId="77777777" w:rsidR="00B63F7B" w:rsidRDefault="00B63F7B">
            <w:pPr>
              <w:pStyle w:val="a3"/>
            </w:pPr>
          </w:p>
        </w:tc>
      </w:tr>
      <w:tr w:rsidR="00B63F7B" w14:paraId="29DA73D8" w14:textId="77777777">
        <w:trPr>
          <w:trHeight w:val="2647"/>
        </w:trPr>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9101BE" w14:textId="77777777" w:rsidR="00B63F7B" w:rsidRDefault="005A0A7B">
            <w:pPr>
              <w:pStyle w:val="a3"/>
              <w:rPr>
                <w:b/>
                <w:bCs/>
              </w:rPr>
            </w:pPr>
            <w:r>
              <w:rPr>
                <w:b/>
                <w:bCs/>
              </w:rPr>
              <w:t xml:space="preserve">2. The predicted value and growth in the selected market niche </w:t>
            </w:r>
          </w:p>
          <w:p w14:paraId="7DFCC331" w14:textId="77777777" w:rsidR="00B63F7B" w:rsidRDefault="005A0A7B">
            <w:pPr>
              <w:pStyle w:val="a3"/>
              <w:rPr>
                <w:b/>
                <w:bCs/>
                <w:u w:val="single"/>
              </w:rPr>
            </w:pPr>
            <w:r>
              <w:rPr>
                <w:b/>
                <w:bCs/>
                <w:u w:val="single"/>
              </w:rPr>
              <w:t>ALPATA:</w:t>
            </w:r>
          </w:p>
          <w:p w14:paraId="64D92197" w14:textId="77777777" w:rsidR="00B63F7B" w:rsidRDefault="005A0A7B">
            <w:pPr>
              <w:pStyle w:val="a3"/>
            </w:pPr>
            <w:r>
              <w:rPr>
                <w:rStyle w:val="VarsaylanParagrafYazTipi"/>
                <w:rFonts w:eastAsia="Arial"/>
              </w:rPr>
              <w:t>The selected market is expected to grow steadily due to increasing demand for digitalisation, supply chain visibility, and operational efficiency improvements.</w:t>
            </w:r>
          </w:p>
          <w:p w14:paraId="78EA822E" w14:textId="77777777" w:rsidR="00B63F7B" w:rsidRDefault="005A0A7B">
            <w:pPr>
              <w:pStyle w:val="a3"/>
            </w:pPr>
            <w:r>
              <w:rPr>
                <w:rStyle w:val="VarsaylanParagrafYazTipi"/>
                <w:rFonts w:eastAsia="Arial"/>
              </w:rPr>
              <w:t>In aviation logistics in particular, the need to reduce delays, optimise inventory, and improve coordination between warehouse and transport operations creates a strong demand for data-driven and digital twin-supported solutions.</w:t>
            </w:r>
          </w:p>
          <w:p w14:paraId="5791273B" w14:textId="77777777" w:rsidR="00B63F7B" w:rsidRDefault="005A0A7B">
            <w:pPr>
              <w:pStyle w:val="a3"/>
            </w:pPr>
            <w:proofErr w:type="spellStart"/>
            <w:r>
              <w:rPr>
                <w:rStyle w:val="VarsaylanParagrafYazTipi"/>
                <w:rFonts w:eastAsia="Arial"/>
              </w:rPr>
              <w:t>Alpata’s</w:t>
            </w:r>
            <w:proofErr w:type="spellEnd"/>
            <w:r>
              <w:rPr>
                <w:rStyle w:val="VarsaylanParagrafYazTipi"/>
                <w:rFonts w:eastAsia="Arial"/>
              </w:rPr>
              <w:t xml:space="preserve"> approach aligns with these trends by combining operational data, analytics, and optimisation methods to improve decision-making and reduce inefficiencies.</w:t>
            </w:r>
          </w:p>
          <w:p w14:paraId="769ADA79" w14:textId="77777777" w:rsidR="00B63F7B" w:rsidRDefault="005A0A7B">
            <w:pPr>
              <w:pStyle w:val="a3"/>
              <w:rPr>
                <w:b/>
                <w:bCs/>
                <w:u w:val="single"/>
                <w:lang w:eastAsia="zh-CN"/>
              </w:rPr>
            </w:pPr>
            <w:proofErr w:type="spellStart"/>
            <w:r>
              <w:rPr>
                <w:b/>
                <w:bCs/>
                <w:u w:val="single"/>
                <w:lang w:eastAsia="zh-CN"/>
              </w:rPr>
              <w:t>Netcad</w:t>
            </w:r>
            <w:proofErr w:type="spellEnd"/>
            <w:r>
              <w:rPr>
                <w:b/>
                <w:bCs/>
                <w:u w:val="single"/>
                <w:lang w:eastAsia="zh-CN"/>
              </w:rPr>
              <w:t>:</w:t>
            </w:r>
          </w:p>
          <w:p w14:paraId="2DBC3E35" w14:textId="77777777" w:rsidR="00B63F7B" w:rsidRDefault="005A0A7B">
            <w:pPr>
              <w:pStyle w:val="a3"/>
              <w:rPr>
                <w:lang w:eastAsia="zh-CN"/>
              </w:rPr>
            </w:pPr>
            <w:r>
              <w:rPr>
                <w:lang w:eastAsia="zh-CN"/>
              </w:rPr>
              <w:t xml:space="preserve">The selected niche is expected to expand steadily as digitalisation, decarbonisation, operational resilience and real-time visibility become strategic priorities across transport, logistics, mining and infrastructure sectors. For </w:t>
            </w:r>
            <w:proofErr w:type="spellStart"/>
            <w:r>
              <w:rPr>
                <w:lang w:eastAsia="zh-CN"/>
              </w:rPr>
              <w:t>Netcad</w:t>
            </w:r>
            <w:proofErr w:type="spellEnd"/>
            <w:r>
              <w:rPr>
                <w:lang w:eastAsia="zh-CN"/>
              </w:rPr>
              <w:t xml:space="preserve">, the value of this niche comes from the growing need for solutions that combine digital twin capabilities with geospatial intelligence, route optimisation, 3D monitoring, infrastructure context and sustainability metrics in a single operational framework. The VISION documents </w:t>
            </w:r>
            <w:r>
              <w:rPr>
                <w:lang w:eastAsia="zh-CN"/>
              </w:rPr>
              <w:lastRenderedPageBreak/>
              <w:t xml:space="preserve">already position digital twins, net-zero optimisation and transport-related analytics as high-value areas for supply-chain improvement, especially in sectors with high inefficiency, carbon pressure and route-planning complexity. </w:t>
            </w:r>
            <w:proofErr w:type="spellStart"/>
            <w:r>
              <w:rPr>
                <w:lang w:eastAsia="zh-CN"/>
              </w:rPr>
              <w:t>Netcad’s</w:t>
            </w:r>
            <w:proofErr w:type="spellEnd"/>
            <w:r>
              <w:rPr>
                <w:lang w:eastAsia="zh-CN"/>
              </w:rPr>
              <w:t xml:space="preserve"> commercial advantage is that these capabilities can be translated into product extensions and sector-specific deployments for customers already seeking better operational efficiency, lower delays, improved resource usage and carbon-aware planning.</w:t>
            </w:r>
          </w:p>
          <w:p w14:paraId="29AB409C" w14:textId="77777777" w:rsidR="00B63F7B" w:rsidRDefault="00B63F7B">
            <w:pPr>
              <w:pStyle w:val="a3"/>
            </w:pPr>
          </w:p>
        </w:tc>
      </w:tr>
      <w:tr w:rsidR="00B63F7B" w14:paraId="2B77F206" w14:textId="77777777">
        <w:trPr>
          <w:trHeight w:val="454"/>
        </w:trPr>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9AF0C6" w14:textId="77777777" w:rsidR="00B63F7B" w:rsidRDefault="005A0A7B">
            <w:pPr>
              <w:pStyle w:val="a3"/>
            </w:pPr>
            <w:r>
              <w:rPr>
                <w:rStyle w:val="VarsaylanParagrafYazTipi"/>
                <w:b/>
                <w:bCs/>
              </w:rPr>
              <w:lastRenderedPageBreak/>
              <w:t xml:space="preserve">3. The existing or emerging competitive offerings </w:t>
            </w:r>
          </w:p>
          <w:p w14:paraId="1F13A476" w14:textId="77777777" w:rsidR="00B63F7B" w:rsidRDefault="005A0A7B">
            <w:pPr>
              <w:pStyle w:val="a3"/>
              <w:rPr>
                <w:b/>
                <w:bCs/>
                <w:u w:val="single"/>
              </w:rPr>
            </w:pPr>
            <w:r>
              <w:rPr>
                <w:b/>
                <w:bCs/>
                <w:u w:val="single"/>
              </w:rPr>
              <w:t>ALPATA:</w:t>
            </w:r>
          </w:p>
          <w:p w14:paraId="4F99161D" w14:textId="77777777" w:rsidR="00B63F7B" w:rsidRDefault="005A0A7B">
            <w:pPr>
              <w:pStyle w:val="a3"/>
            </w:pPr>
            <w:r>
              <w:rPr>
                <w:rStyle w:val="VarsaylanParagrafYazTipi"/>
                <w:rFonts w:eastAsia="Arial"/>
              </w:rPr>
              <w:t>The competitive landscape includes warehouse management system providers, logistics analytics platforms, and emerging digital twin solutions.</w:t>
            </w:r>
          </w:p>
          <w:p w14:paraId="3EF228CF" w14:textId="77777777" w:rsidR="00B63F7B" w:rsidRDefault="005A0A7B">
            <w:pPr>
              <w:pStyle w:val="a3"/>
            </w:pPr>
            <w:r>
              <w:rPr>
                <w:rStyle w:val="VarsaylanParagrafYazTipi"/>
                <w:rFonts w:eastAsia="Arial"/>
              </w:rPr>
              <w:t>Many existing solutions focus either on data visualisation or standalone optimisation tools. However, fewer solutions integrate real-time operational data, digital twin representations, and analytical decision support within a unified framework.</w:t>
            </w:r>
          </w:p>
          <w:p w14:paraId="6B14519B" w14:textId="77777777" w:rsidR="00B63F7B" w:rsidRDefault="005A0A7B">
            <w:pPr>
              <w:pStyle w:val="a3"/>
            </w:pPr>
            <w:proofErr w:type="spellStart"/>
            <w:r>
              <w:rPr>
                <w:rStyle w:val="VarsaylanParagrafYazTipi"/>
                <w:rFonts w:eastAsia="Arial"/>
              </w:rPr>
              <w:t>Alpata’s</w:t>
            </w:r>
            <w:proofErr w:type="spellEnd"/>
            <w:r>
              <w:rPr>
                <w:rStyle w:val="VarsaylanParagrafYazTipi"/>
                <w:rFonts w:eastAsia="Arial"/>
              </w:rPr>
              <w:t xml:space="preserve"> approach differentiates itself by combining operational warehouse data and analytics-driven optimisation tailored to aviation logistics scenarios.</w:t>
            </w:r>
          </w:p>
          <w:p w14:paraId="058BA14C" w14:textId="77777777" w:rsidR="00B63F7B" w:rsidRDefault="005A0A7B">
            <w:pPr>
              <w:pStyle w:val="a3"/>
              <w:rPr>
                <w:b/>
                <w:bCs/>
                <w:u w:val="single"/>
                <w:lang w:eastAsia="zh-CN"/>
              </w:rPr>
            </w:pPr>
            <w:proofErr w:type="spellStart"/>
            <w:r>
              <w:rPr>
                <w:b/>
                <w:bCs/>
                <w:u w:val="single"/>
                <w:lang w:eastAsia="zh-CN"/>
              </w:rPr>
              <w:t>Netcad</w:t>
            </w:r>
            <w:proofErr w:type="spellEnd"/>
            <w:r>
              <w:rPr>
                <w:b/>
                <w:bCs/>
                <w:u w:val="single"/>
                <w:lang w:eastAsia="zh-CN"/>
              </w:rPr>
              <w:t>:</w:t>
            </w:r>
          </w:p>
          <w:p w14:paraId="58B788FF" w14:textId="77777777" w:rsidR="00B63F7B" w:rsidRDefault="005A0A7B">
            <w:pPr>
              <w:pStyle w:val="a3"/>
              <w:rPr>
                <w:lang w:eastAsia="zh-CN"/>
              </w:rPr>
            </w:pPr>
            <w:r>
              <w:rPr>
                <w:lang w:eastAsia="zh-CN"/>
              </w:rPr>
              <w:t xml:space="preserve">The competitive landscape includes large GIS vendors, smart-city platform providers, cloud-based digital twin frameworks, mining optimisation software providers, logistics analytics platforms and niche route-optimisation vendors. Many of these solutions are strong in either visualisation, generic analytics or cloud orchestration, but fewer combine engineering-grade spatial intelligence, infrastructure-aware decision support, operational route optimisation and public-sector compatibility in a unified way. </w:t>
            </w:r>
            <w:proofErr w:type="spellStart"/>
            <w:r>
              <w:rPr>
                <w:lang w:eastAsia="zh-CN"/>
              </w:rPr>
              <w:t>Netcad’s</w:t>
            </w:r>
            <w:proofErr w:type="spellEnd"/>
            <w:r>
              <w:rPr>
                <w:lang w:eastAsia="zh-CN"/>
              </w:rPr>
              <w:t xml:space="preserve"> differentiation comes from its ability to connect geospatial data, infrastructure context, transport workflows and sustainability-related calculations within a practical deployment environment. </w:t>
            </w:r>
            <w:proofErr w:type="gramStart"/>
            <w:r>
              <w:rPr>
                <w:lang w:eastAsia="zh-CN"/>
              </w:rPr>
              <w:t xml:space="preserve">In particular, </w:t>
            </w:r>
            <w:proofErr w:type="spellStart"/>
            <w:r>
              <w:rPr>
                <w:lang w:eastAsia="zh-CN"/>
              </w:rPr>
              <w:t>Netcad’s</w:t>
            </w:r>
            <w:proofErr w:type="spellEnd"/>
            <w:proofErr w:type="gramEnd"/>
            <w:r>
              <w:rPr>
                <w:lang w:eastAsia="zh-CN"/>
              </w:rPr>
              <w:t xml:space="preserve"> VISION-related offer is stronger in environments where route planning, field conditions, 3D context, public-sector interoperability and operational usability matter more than generic dashboarding alone.</w:t>
            </w:r>
          </w:p>
          <w:p w14:paraId="140F74CF" w14:textId="77777777" w:rsidR="00B63F7B" w:rsidRDefault="00B63F7B">
            <w:pPr>
              <w:pStyle w:val="a3"/>
            </w:pPr>
          </w:p>
          <w:p w14:paraId="3000D855" w14:textId="77777777" w:rsidR="00B63F7B" w:rsidRDefault="00B63F7B">
            <w:pPr>
              <w:pStyle w:val="a3"/>
            </w:pPr>
          </w:p>
        </w:tc>
      </w:tr>
      <w:tr w:rsidR="00B63F7B" w14:paraId="7EE354D1" w14:textId="77777777">
        <w:trPr>
          <w:trHeight w:val="454"/>
        </w:trPr>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8C8C0C" w14:textId="77777777" w:rsidR="00B63F7B" w:rsidRDefault="005A0A7B">
            <w:pPr>
              <w:pStyle w:val="a3"/>
              <w:rPr>
                <w:b/>
                <w:bCs/>
              </w:rPr>
            </w:pPr>
            <w:r>
              <w:rPr>
                <w:b/>
                <w:bCs/>
              </w:rPr>
              <w:t xml:space="preserve">4. The means by which IPR will be protected </w:t>
            </w:r>
          </w:p>
          <w:p w14:paraId="31E58738" w14:textId="77777777" w:rsidR="00B63F7B" w:rsidRDefault="005A0A7B">
            <w:pPr>
              <w:pStyle w:val="a3"/>
              <w:rPr>
                <w:b/>
                <w:bCs/>
                <w:u w:val="single"/>
              </w:rPr>
            </w:pPr>
            <w:r>
              <w:rPr>
                <w:b/>
                <w:bCs/>
                <w:u w:val="single"/>
              </w:rPr>
              <w:t>ALPATA:</w:t>
            </w:r>
          </w:p>
          <w:p w14:paraId="4D814789" w14:textId="77777777" w:rsidR="00B63F7B" w:rsidRDefault="005A0A7B">
            <w:pPr>
              <w:pStyle w:val="a3"/>
            </w:pPr>
            <w:proofErr w:type="spellStart"/>
            <w:r>
              <w:rPr>
                <w:rStyle w:val="VarsaylanParagrafYazTipi"/>
              </w:rPr>
              <w:t>Alpata</w:t>
            </w:r>
            <w:proofErr w:type="spellEnd"/>
            <w:r>
              <w:rPr>
                <w:rStyle w:val="VarsaylanParagrafYazTipi"/>
              </w:rPr>
              <w:t xml:space="preserve"> will protect its intellectual property in line with the project’s IPR framework through controlled access, internal development practices, and appropriate licensing.</w:t>
            </w:r>
          </w:p>
          <w:p w14:paraId="73A22497" w14:textId="77777777" w:rsidR="00B63F7B" w:rsidRDefault="005A0A7B">
            <w:pPr>
              <w:pStyle w:val="a3"/>
            </w:pPr>
            <w:r>
              <w:rPr>
                <w:rStyle w:val="VarsaylanParagrafYazTipi"/>
              </w:rPr>
              <w:t xml:space="preserve">Components required for interoperability may be shared within the consortium, while </w:t>
            </w:r>
            <w:proofErr w:type="spellStart"/>
            <w:r>
              <w:rPr>
                <w:rStyle w:val="VarsaylanParagrafYazTipi"/>
              </w:rPr>
              <w:t>Alpata</w:t>
            </w:r>
            <w:proofErr w:type="spellEnd"/>
            <w:r>
              <w:rPr>
                <w:rStyle w:val="VarsaylanParagrafYazTipi"/>
              </w:rPr>
              <w:t xml:space="preserve"> retains ownership of its analytical methods, optimisation approaches, and implementation know-how.</w:t>
            </w:r>
          </w:p>
          <w:p w14:paraId="2E629C2F" w14:textId="77777777" w:rsidR="00B63F7B" w:rsidRDefault="005A0A7B">
            <w:pPr>
              <w:pStyle w:val="a3"/>
              <w:rPr>
                <w:b/>
                <w:bCs/>
                <w:u w:val="single"/>
              </w:rPr>
            </w:pPr>
            <w:proofErr w:type="spellStart"/>
            <w:r>
              <w:rPr>
                <w:b/>
                <w:bCs/>
                <w:u w:val="single"/>
              </w:rPr>
              <w:t>Netcad</w:t>
            </w:r>
            <w:proofErr w:type="spellEnd"/>
            <w:r>
              <w:rPr>
                <w:b/>
                <w:bCs/>
                <w:u w:val="single"/>
              </w:rPr>
              <w:t>:</w:t>
            </w:r>
          </w:p>
          <w:p w14:paraId="180E7D23" w14:textId="77777777" w:rsidR="00B63F7B" w:rsidRDefault="005A0A7B">
            <w:pPr>
              <w:pStyle w:val="a3"/>
            </w:pPr>
            <w:proofErr w:type="spellStart"/>
            <w:r>
              <w:t>Netcad</w:t>
            </w:r>
            <w:proofErr w:type="spellEnd"/>
            <w:r>
              <w:t xml:space="preserve"> will protect the intellectual property arising from its VISION-related developments through a combination of copyright, controlled licensing, trade-secret management, internal repository access controls and contractual protection mechanisms aligned with the project-wide IPR framework. Components that are generic and necessary for interoperability with the broader project architecture may be shared under consortium-agreed conditions where appropriate. However, </w:t>
            </w:r>
            <w:proofErr w:type="spellStart"/>
            <w:r>
              <w:t>Netcad’s</w:t>
            </w:r>
            <w:proofErr w:type="spellEnd"/>
            <w:r>
              <w:t xml:space="preserve"> value-adding modules, software integrations, interface components, optimisation workflows, data-processing pipelines and productised functionalities will be protected under </w:t>
            </w:r>
            <w:proofErr w:type="spellStart"/>
            <w:r>
              <w:t>Netcad’s</w:t>
            </w:r>
            <w:proofErr w:type="spellEnd"/>
            <w:r>
              <w:t xml:space="preserve"> commercial licensing model and internal IP governance practices. Where novel technical methods with sufficient strategic and commercial value emerge, </w:t>
            </w:r>
            <w:proofErr w:type="spellStart"/>
            <w:r>
              <w:t>Netcad</w:t>
            </w:r>
            <w:proofErr w:type="spellEnd"/>
            <w:r>
              <w:t xml:space="preserve"> may also assess the feasibility of additional formal protection routes.</w:t>
            </w:r>
          </w:p>
        </w:tc>
      </w:tr>
    </w:tbl>
    <w:p w14:paraId="7239E376" w14:textId="77777777" w:rsidR="00B63F7B" w:rsidRDefault="00B63F7B">
      <w:pPr>
        <w:pStyle w:val="a3"/>
      </w:pPr>
    </w:p>
    <w:p w14:paraId="31D82AB7" w14:textId="77777777" w:rsidR="00B63F7B" w:rsidRDefault="00B63F7B">
      <w:pPr>
        <w:pStyle w:val="a3"/>
      </w:pPr>
    </w:p>
    <w:tbl>
      <w:tblPr>
        <w:tblW w:w="9214" w:type="dxa"/>
        <w:tblInd w:w="137" w:type="dxa"/>
        <w:tblCellMar>
          <w:left w:w="10" w:type="dxa"/>
          <w:right w:w="10" w:type="dxa"/>
        </w:tblCellMar>
        <w:tblLook w:val="04A0" w:firstRow="1" w:lastRow="0" w:firstColumn="1" w:lastColumn="0" w:noHBand="0" w:noVBand="1"/>
      </w:tblPr>
      <w:tblGrid>
        <w:gridCol w:w="9214"/>
      </w:tblGrid>
      <w:tr w:rsidR="00B63F7B" w14:paraId="0324401A" w14:textId="77777777">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EB8A44" w14:textId="77777777" w:rsidR="00B63F7B" w:rsidRDefault="005A0A7B">
            <w:pPr>
              <w:pStyle w:val="a3"/>
              <w:rPr>
                <w:b/>
                <w:bCs/>
              </w:rPr>
            </w:pPr>
            <w:r>
              <w:rPr>
                <w:b/>
                <w:bCs/>
              </w:rPr>
              <w:lastRenderedPageBreak/>
              <w:t>Quantify the commercial returns expected, together with the timescale.</w:t>
            </w:r>
          </w:p>
        </w:tc>
      </w:tr>
      <w:tr w:rsidR="00B63F7B" w14:paraId="629D1A79" w14:textId="77777777">
        <w:trPr>
          <w:trHeight w:val="3252"/>
        </w:trPr>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BBE06B" w14:textId="77777777" w:rsidR="00B63F7B" w:rsidRDefault="00B63F7B">
            <w:pPr>
              <w:pStyle w:val="a3"/>
            </w:pPr>
          </w:p>
        </w:tc>
      </w:tr>
    </w:tbl>
    <w:p w14:paraId="400D8E3E" w14:textId="77777777" w:rsidR="00B63F7B" w:rsidRDefault="00B63F7B">
      <w:pPr>
        <w:pStyle w:val="a3"/>
      </w:pPr>
    </w:p>
    <w:p w14:paraId="6316A4C8" w14:textId="77777777" w:rsidR="00B63F7B" w:rsidRDefault="005A0A7B">
      <w:pPr>
        <w:pStyle w:val="2"/>
      </w:pPr>
      <w:r>
        <w:rPr>
          <w:rStyle w:val="VarsaylanParagrafYazTipi"/>
        </w:rPr>
        <w:t>The potential impact</w:t>
      </w:r>
    </w:p>
    <w:tbl>
      <w:tblPr>
        <w:tblW w:w="9061" w:type="dxa"/>
        <w:tblCellMar>
          <w:left w:w="10" w:type="dxa"/>
          <w:right w:w="10" w:type="dxa"/>
        </w:tblCellMar>
        <w:tblLook w:val="04A0" w:firstRow="1" w:lastRow="0" w:firstColumn="1" w:lastColumn="0" w:noHBand="0" w:noVBand="1"/>
      </w:tblPr>
      <w:tblGrid>
        <w:gridCol w:w="9061"/>
      </w:tblGrid>
      <w:tr w:rsidR="00B63F7B" w14:paraId="376F6862" w14:textId="77777777">
        <w:tc>
          <w:tcPr>
            <w:tcW w:w="9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BC78B3" w14:textId="77777777" w:rsidR="00B63F7B" w:rsidRDefault="005A0A7B">
            <w:pPr>
              <w:pStyle w:val="a3"/>
            </w:pPr>
            <w:r>
              <w:t>Summary of wider benefits from the Project for those outside the consortium</w:t>
            </w:r>
          </w:p>
        </w:tc>
      </w:tr>
      <w:tr w:rsidR="00B63F7B" w14:paraId="4ABBEF0C" w14:textId="77777777">
        <w:trPr>
          <w:trHeight w:val="3293"/>
        </w:trPr>
        <w:tc>
          <w:tcPr>
            <w:tcW w:w="9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044D18" w14:textId="77777777" w:rsidR="00B63F7B" w:rsidRDefault="005A0A7B">
            <w:pPr>
              <w:pStyle w:val="a3"/>
              <w:rPr>
                <w:b/>
                <w:bCs/>
                <w:u w:val="single"/>
              </w:rPr>
            </w:pPr>
            <w:r>
              <w:rPr>
                <w:b/>
                <w:bCs/>
                <w:u w:val="single"/>
              </w:rPr>
              <w:t>ALPATA:</w:t>
            </w:r>
          </w:p>
          <w:p w14:paraId="680E7539" w14:textId="77777777" w:rsidR="00B63F7B" w:rsidRDefault="005A0A7B">
            <w:pPr>
              <w:pStyle w:val="a3"/>
            </w:pPr>
            <w:r>
              <w:rPr>
                <w:rStyle w:val="VarsaylanParagrafYazTipi"/>
              </w:rPr>
              <w:t>Beyond the consortium, the project outcomes may contribute to improved practices in supply chain digitalisation and logistics optimisation. The use of digital twin concepts and data analytics can support better operational visibility and more efficient warehouse operations.</w:t>
            </w:r>
          </w:p>
          <w:p w14:paraId="0DB3EDF1" w14:textId="77777777" w:rsidR="00B63F7B" w:rsidRDefault="005A0A7B">
            <w:pPr>
              <w:pStyle w:val="a3"/>
            </w:pPr>
            <w:r>
              <w:t>Improved coordination between warehouse preparation and transportation planning can also contribute to reduced transport inefficiencies and lower emissions through better load consolidation and improved vehicle utilisation.</w:t>
            </w:r>
          </w:p>
        </w:tc>
      </w:tr>
    </w:tbl>
    <w:p w14:paraId="26CE778D" w14:textId="77777777" w:rsidR="00B63F7B" w:rsidRDefault="00B63F7B">
      <w:pPr>
        <w:pStyle w:val="a3"/>
      </w:pPr>
    </w:p>
    <w:p w14:paraId="59CD2E0B" w14:textId="77777777" w:rsidR="00B63F7B" w:rsidRDefault="005A0A7B">
      <w:pPr>
        <w:pStyle w:val="1"/>
      </w:pPr>
      <w:r>
        <w:rPr>
          <w:rStyle w:val="VarsaylanParagrafYazTipi"/>
          <w:rFonts w:ascii="Arial" w:hAnsi="Arial" w:cs="Arial"/>
          <w:sz w:val="28"/>
          <w:szCs w:val="28"/>
        </w:rPr>
        <w:t>Exploitation Plan</w:t>
      </w:r>
    </w:p>
    <w:p w14:paraId="2F6C4353" w14:textId="77777777" w:rsidR="00B63F7B" w:rsidRDefault="00B63F7B">
      <w:pPr>
        <w:pStyle w:val="a3"/>
      </w:pPr>
    </w:p>
    <w:p w14:paraId="675F8D22" w14:textId="77777777" w:rsidR="00B63F7B" w:rsidRDefault="005A0A7B">
      <w:pPr>
        <w:pStyle w:val="a3"/>
      </w:pPr>
      <w:r>
        <w:rPr>
          <w:rStyle w:val="VarsaylanParagrafYazTipi"/>
          <w:b/>
          <w:sz w:val="22"/>
          <w:szCs w:val="22"/>
          <w:u w:val="single"/>
        </w:rPr>
        <w:t xml:space="preserve">Business Plan </w:t>
      </w:r>
    </w:p>
    <w:tbl>
      <w:tblPr>
        <w:tblW w:w="8640" w:type="dxa"/>
        <w:tblInd w:w="108" w:type="dxa"/>
        <w:tblCellMar>
          <w:left w:w="10" w:type="dxa"/>
          <w:right w:w="10" w:type="dxa"/>
        </w:tblCellMar>
        <w:tblLook w:val="04A0" w:firstRow="1" w:lastRow="0" w:firstColumn="1" w:lastColumn="0" w:noHBand="0" w:noVBand="1"/>
      </w:tblPr>
      <w:tblGrid>
        <w:gridCol w:w="8640"/>
      </w:tblGrid>
      <w:tr w:rsidR="00B63F7B" w14:paraId="1270A4FD" w14:textId="77777777">
        <w:trPr>
          <w:trHeight w:val="3209"/>
        </w:trPr>
        <w:tc>
          <w:tcPr>
            <w:tcW w:w="8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B64437" w14:textId="77777777" w:rsidR="00B63F7B" w:rsidRDefault="005A0A7B">
            <w:pPr>
              <w:pStyle w:val="a3"/>
              <w:rPr>
                <w:b/>
                <w:bCs/>
              </w:rPr>
            </w:pPr>
            <w:r>
              <w:rPr>
                <w:b/>
                <w:bCs/>
              </w:rPr>
              <w:t>Detail the activities and timescales for exploitation activities, including the activities to develop the market buy-in and the activities to present the outcome to the market.</w:t>
            </w:r>
          </w:p>
          <w:p w14:paraId="0663DD48" w14:textId="77777777" w:rsidR="00B63F7B" w:rsidRDefault="005A0A7B">
            <w:pPr>
              <w:pStyle w:val="a3"/>
              <w:rPr>
                <w:b/>
                <w:bCs/>
              </w:rPr>
            </w:pPr>
            <w:r>
              <w:rPr>
                <w:b/>
                <w:bCs/>
              </w:rPr>
              <w:t>Indicate the joint activities between partners.</w:t>
            </w:r>
          </w:p>
          <w:p w14:paraId="402CCAD4" w14:textId="77777777" w:rsidR="00B63F7B" w:rsidRDefault="005A0A7B">
            <w:pPr>
              <w:pStyle w:val="a3"/>
              <w:rPr>
                <w:b/>
                <w:bCs/>
              </w:rPr>
            </w:pPr>
            <w:r>
              <w:rPr>
                <w:b/>
                <w:bCs/>
              </w:rPr>
              <w:t>If further capital is required, consider the plans which will be carried out to raise it.</w:t>
            </w:r>
          </w:p>
          <w:p w14:paraId="116DFF49" w14:textId="77777777" w:rsidR="00B63F7B" w:rsidRDefault="005A0A7B">
            <w:pPr>
              <w:pStyle w:val="a3"/>
              <w:rPr>
                <w:b/>
                <w:bCs/>
                <w:u w:val="single"/>
              </w:rPr>
            </w:pPr>
            <w:r>
              <w:rPr>
                <w:b/>
                <w:bCs/>
                <w:u w:val="single"/>
              </w:rPr>
              <w:t>ALPATA:</w:t>
            </w:r>
          </w:p>
          <w:p w14:paraId="43E745F2" w14:textId="77777777" w:rsidR="00B63F7B" w:rsidRDefault="005A0A7B">
            <w:pPr>
              <w:pStyle w:val="a3"/>
            </w:pPr>
            <w:r>
              <w:rPr>
                <w:rStyle w:val="VarsaylanParagrafYazTipi"/>
              </w:rPr>
              <w:t xml:space="preserve">During the project, </w:t>
            </w:r>
            <w:proofErr w:type="spellStart"/>
            <w:r>
              <w:rPr>
                <w:rStyle w:val="VarsaylanParagrafYazTipi"/>
              </w:rPr>
              <w:t>Alpata</w:t>
            </w:r>
            <w:proofErr w:type="spellEnd"/>
            <w:r>
              <w:rPr>
                <w:rStyle w:val="VarsaylanParagrafYazTipi"/>
              </w:rPr>
              <w:t xml:space="preserve"> will focus on validating the developed approaches through pilot implementations and use case demonstrations.</w:t>
            </w:r>
          </w:p>
          <w:p w14:paraId="1A73381F" w14:textId="77777777" w:rsidR="00B63F7B" w:rsidRDefault="005A0A7B">
            <w:pPr>
              <w:pStyle w:val="a3"/>
            </w:pPr>
            <w:r>
              <w:rPr>
                <w:rStyle w:val="VarsaylanParagrafYazTipi"/>
              </w:rPr>
              <w:t>After the project, the validated components will be incorporated into customer-oriented solutions and service offerings.</w:t>
            </w:r>
          </w:p>
          <w:p w14:paraId="513CC39E" w14:textId="77777777" w:rsidR="00B63F7B" w:rsidRDefault="005A0A7B">
            <w:pPr>
              <w:pStyle w:val="a3"/>
            </w:pPr>
            <w:r>
              <w:rPr>
                <w:rStyle w:val="VarsaylanParagrafYazTipi"/>
              </w:rPr>
              <w:t>Market engagement will be supported through pilot studies, technical demonstrations, and collaboration with existing stakeholders in aviation logistics.</w:t>
            </w:r>
          </w:p>
          <w:p w14:paraId="232973BE" w14:textId="77777777" w:rsidR="00B63F7B" w:rsidRDefault="005A0A7B">
            <w:pPr>
              <w:pStyle w:val="a3"/>
            </w:pPr>
            <w:r>
              <w:rPr>
                <w:rStyle w:val="VarsaylanParagrafYazTipi"/>
              </w:rPr>
              <w:t xml:space="preserve">In the longer term, </w:t>
            </w:r>
            <w:proofErr w:type="spellStart"/>
            <w:r>
              <w:rPr>
                <w:rStyle w:val="VarsaylanParagrafYazTipi"/>
              </w:rPr>
              <w:t>Alpata</w:t>
            </w:r>
            <w:proofErr w:type="spellEnd"/>
            <w:r>
              <w:rPr>
                <w:rStyle w:val="VarsaylanParagrafYazTipi"/>
              </w:rPr>
              <w:t xml:space="preserve"> aims to expand these solutions to broader logistics and warehouse management contexts.</w:t>
            </w:r>
          </w:p>
          <w:p w14:paraId="084A16B8" w14:textId="77777777" w:rsidR="00B63F7B" w:rsidRDefault="005A0A7B">
            <w:pPr>
              <w:pStyle w:val="a3"/>
              <w:rPr>
                <w:b/>
                <w:bCs/>
                <w:u w:val="single"/>
              </w:rPr>
            </w:pPr>
            <w:proofErr w:type="spellStart"/>
            <w:r>
              <w:rPr>
                <w:b/>
                <w:bCs/>
                <w:u w:val="single"/>
              </w:rPr>
              <w:lastRenderedPageBreak/>
              <w:t>Netcad</w:t>
            </w:r>
            <w:proofErr w:type="spellEnd"/>
            <w:r>
              <w:rPr>
                <w:b/>
                <w:bCs/>
                <w:u w:val="single"/>
              </w:rPr>
              <w:t>:</w:t>
            </w:r>
          </w:p>
          <w:p w14:paraId="1D564A64" w14:textId="77777777" w:rsidR="00B63F7B" w:rsidRDefault="005A0A7B">
            <w:pPr>
              <w:pStyle w:val="a3"/>
            </w:pPr>
            <w:proofErr w:type="spellStart"/>
            <w:r>
              <w:t>Netcad’s</w:t>
            </w:r>
            <w:proofErr w:type="spellEnd"/>
            <w:r>
              <w:t xml:space="preserve"> exploitation strategy is based primarily on product enhancement and solution packaging rather than stand-alone one-off commercialisation. The project outcomes most relevant to </w:t>
            </w:r>
            <w:proofErr w:type="spellStart"/>
            <w:r>
              <w:t>Netcad</w:t>
            </w:r>
            <w:proofErr w:type="spellEnd"/>
            <w:r>
              <w:t xml:space="preserve"> will be transformed into deployable capabilities within its existing and future geospatial, smart city, infrastructure and mining-oriented product lines. In the project period, </w:t>
            </w:r>
            <w:proofErr w:type="spellStart"/>
            <w:r>
              <w:t>Netcad</w:t>
            </w:r>
            <w:proofErr w:type="spellEnd"/>
            <w:r>
              <w:t xml:space="preserve"> will focus on validating exploitable components through the mining and transport-oriented VISION scenarios, especially around Digital Transport Twin functions, route optimisation, sustainability integration, data ingestion and real-time visualisation. In the short term after the project, these validated outcomes will be packaged into product-grade modules, demonstrators and service offerings for targeted customers. In the medium term, </w:t>
            </w:r>
            <w:proofErr w:type="spellStart"/>
            <w:r>
              <w:t>Netcad</w:t>
            </w:r>
            <w:proofErr w:type="spellEnd"/>
            <w:r>
              <w:t xml:space="preserve"> aims to scale these capabilities through direct sales, pilot deployments, public procurement channels, customer-specific projects and strategic partnerships, leveraging its established position in smart city and smart mining markets. A practical go-to-market route is already implied in the VISION material: </w:t>
            </w:r>
            <w:proofErr w:type="spellStart"/>
            <w:r>
              <w:t>Netcad</w:t>
            </w:r>
            <w:proofErr w:type="spellEnd"/>
            <w:r>
              <w:t xml:space="preserve"> intends to use its existing public- and private-sector relationships, supported by case studies, pilots and visible efficiency gains, to demonstrate cost and time savings and accelerate adoption.</w:t>
            </w:r>
          </w:p>
        </w:tc>
      </w:tr>
    </w:tbl>
    <w:p w14:paraId="06763C67" w14:textId="77777777" w:rsidR="00B63F7B" w:rsidRDefault="00B63F7B">
      <w:pPr>
        <w:pStyle w:val="a3"/>
      </w:pPr>
    </w:p>
    <w:p w14:paraId="00F801A1" w14:textId="77777777" w:rsidR="00B63F7B" w:rsidRDefault="00B63F7B">
      <w:pPr>
        <w:pStyle w:val="a3"/>
      </w:pPr>
    </w:p>
    <w:p w14:paraId="45633888" w14:textId="77777777" w:rsidR="00B63F7B" w:rsidRDefault="005A0A7B">
      <w:pPr>
        <w:pStyle w:val="a3"/>
      </w:pPr>
      <w:r>
        <w:rPr>
          <w:rStyle w:val="VarsaylanParagrafYazTipi"/>
          <w:b/>
          <w:sz w:val="22"/>
          <w:szCs w:val="22"/>
          <w:u w:val="single"/>
        </w:rPr>
        <w:t>Dissemination Activities during the Project</w:t>
      </w:r>
    </w:p>
    <w:tbl>
      <w:tblPr>
        <w:tblW w:w="8640" w:type="dxa"/>
        <w:tblCellMar>
          <w:left w:w="10" w:type="dxa"/>
          <w:right w:w="10" w:type="dxa"/>
        </w:tblCellMar>
        <w:tblLook w:val="04A0" w:firstRow="1" w:lastRow="0" w:firstColumn="1" w:lastColumn="0" w:noHBand="0" w:noVBand="1"/>
      </w:tblPr>
      <w:tblGrid>
        <w:gridCol w:w="8640"/>
      </w:tblGrid>
      <w:tr w:rsidR="00B63F7B" w14:paraId="230043F1" w14:textId="77777777">
        <w:trPr>
          <w:trHeight w:val="3396"/>
        </w:trPr>
        <w:tc>
          <w:tcPr>
            <w:tcW w:w="8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7C9858" w14:textId="77777777" w:rsidR="00B63F7B" w:rsidRDefault="005A0A7B">
            <w:pPr>
              <w:pStyle w:val="a3"/>
            </w:pPr>
            <w:r>
              <w:rPr>
                <w:rStyle w:val="VarsaylanParagrafYazTipi"/>
                <w:b/>
                <w:bCs/>
              </w:rPr>
              <w:t>Detail planned publications.</w:t>
            </w:r>
            <w:r>
              <w:rPr>
                <w:rStyle w:val="VarsaylanParagrafYazTipi"/>
              </w:rPr>
              <w:t xml:space="preserve">  </w:t>
            </w:r>
          </w:p>
          <w:p w14:paraId="68ED2C3A" w14:textId="77777777" w:rsidR="00B63F7B" w:rsidRDefault="005A0A7B">
            <w:pPr>
              <w:pStyle w:val="a3"/>
            </w:pPr>
            <w:r>
              <w:t>We research all aspects of challenges centring around digital twin architecture, digital twin composition and efficient simulation, with a focus on the edge and in-network intelligence. We have so far published:</w:t>
            </w:r>
          </w:p>
          <w:p w14:paraId="6DC6991D" w14:textId="77777777" w:rsidR="00B63F7B" w:rsidRDefault="005A0A7B">
            <w:pPr>
              <w:pStyle w:val="a6"/>
              <w:numPr>
                <w:ilvl w:val="0"/>
                <w:numId w:val="1"/>
              </w:numPr>
            </w:pPr>
            <w:r>
              <w:rPr>
                <w:rStyle w:val="VarsaylanParagrafYazTipi"/>
              </w:rPr>
              <w:t>T</w:t>
            </w:r>
            <w:r>
              <w:t>ODO: list of existing publications</w:t>
            </w:r>
          </w:p>
          <w:p w14:paraId="76ECEAE3" w14:textId="77777777" w:rsidR="00B63F7B" w:rsidRDefault="005A0A7B">
            <w:pPr>
              <w:pStyle w:val="a3"/>
            </w:pPr>
            <w:r>
              <w:rPr>
                <w:rStyle w:val="VarsaylanParagrafYazTipi"/>
                <w:rFonts w:eastAsia="Arial"/>
              </w:rPr>
              <w:t>In addition to these publications, the consortium plans to prepare further joint scientific and technical papers during the project. Planned topics include: (</w:t>
            </w:r>
            <w:proofErr w:type="spellStart"/>
            <w:r>
              <w:rPr>
                <w:rStyle w:val="VarsaylanParagrafYazTipi"/>
                <w:rFonts w:eastAsia="Arial"/>
              </w:rPr>
              <w:t>i</w:t>
            </w:r>
            <w:proofErr w:type="spellEnd"/>
            <w:r>
              <w:rPr>
                <w:rStyle w:val="VarsaylanParagrafYazTipi"/>
                <w:rFonts w:eastAsia="Arial"/>
              </w:rPr>
              <w:t>) the overall architecture framework for sustainable supply chain digitalisation, (ii) modelling supply chain components as real-time distributed digital twins to support operational decision-making, (iii) augmented reality interfaces and interaction methods to assist supply chain workers in complex industrial environments, (iv) integration of 3D localisation and spatial information to enable next-generation AR supply chain systems, and (v) system integration and large-scale demonstration of the developed t</w:t>
            </w:r>
            <w:r>
              <w:rPr>
                <w:rStyle w:val="VarsaylanParagrafYazTipi"/>
                <w:rFonts w:eastAsia="Arial"/>
              </w:rPr>
              <w:t>echnologies. These publications will target high-impact journals and conferences in networking, distributed systems, edge computing, GIS and smart-city research, with contributions from both academic and industrial partners.</w:t>
            </w:r>
          </w:p>
          <w:p w14:paraId="79FC0251" w14:textId="77777777" w:rsidR="00B63F7B" w:rsidRDefault="00B63F7B">
            <w:pPr>
              <w:pStyle w:val="a3"/>
            </w:pPr>
          </w:p>
          <w:p w14:paraId="53F1E75E" w14:textId="77777777" w:rsidR="00B63F7B" w:rsidRDefault="00B63F7B">
            <w:pPr>
              <w:pStyle w:val="a3"/>
            </w:pPr>
          </w:p>
          <w:p w14:paraId="0245EA6D" w14:textId="77777777" w:rsidR="00B63F7B" w:rsidRDefault="005A0A7B">
            <w:pPr>
              <w:pStyle w:val="a3"/>
              <w:rPr>
                <w:b/>
                <w:bCs/>
              </w:rPr>
            </w:pPr>
            <w:r>
              <w:rPr>
                <w:b/>
                <w:bCs/>
              </w:rPr>
              <w:t>Detail the dissemination activities that will be undertaken during the research.</w:t>
            </w:r>
          </w:p>
          <w:p w14:paraId="4F3F12F1" w14:textId="77777777" w:rsidR="00B63F7B" w:rsidRDefault="005A0A7B">
            <w:pPr>
              <w:pStyle w:val="a3"/>
            </w:pPr>
            <w:r>
              <w:t xml:space="preserve">Once the technical solution and product definition has been finalised the project partners will discuss what appropriate dissemination activities should be planned and identify the purpose and benefits resulting from the dissemination. </w:t>
            </w:r>
          </w:p>
          <w:p w14:paraId="41C67BFF" w14:textId="77777777" w:rsidR="00B63F7B" w:rsidRDefault="005A0A7B">
            <w:pPr>
              <w:pStyle w:val="a6"/>
              <w:numPr>
                <w:ilvl w:val="0"/>
                <w:numId w:val="2"/>
              </w:numPr>
            </w:pPr>
            <w:r>
              <w:t>In addition, we have completed the following dissemination activities:</w:t>
            </w:r>
          </w:p>
          <w:p w14:paraId="768FCB50" w14:textId="77777777" w:rsidR="00B63F7B" w:rsidRDefault="005A0A7B">
            <w:pPr>
              <w:pStyle w:val="a6"/>
              <w:numPr>
                <w:ilvl w:val="0"/>
                <w:numId w:val="2"/>
              </w:numPr>
            </w:pPr>
            <w:r>
              <w:rPr>
                <w:rStyle w:val="VarsaylanParagrafYazTipi"/>
              </w:rPr>
              <w:t xml:space="preserve">Project website: </w:t>
            </w:r>
            <w:hyperlink r:id="rId13" w:history="1">
              <w:r w:rsidR="00B63F7B">
                <w:rPr>
                  <w:rStyle w:val="Kpr"/>
                </w:rPr>
                <w:t>https://itea-vision.github.io/web/</w:t>
              </w:r>
            </w:hyperlink>
            <w:r>
              <w:rPr>
                <w:rStyle w:val="VarsaylanParagrafYazTipi"/>
              </w:rPr>
              <w:t xml:space="preserve"> </w:t>
            </w:r>
          </w:p>
          <w:p w14:paraId="0577A890" w14:textId="77777777" w:rsidR="00B63F7B" w:rsidRDefault="005A0A7B">
            <w:pPr>
              <w:pStyle w:val="a6"/>
              <w:numPr>
                <w:ilvl w:val="0"/>
                <w:numId w:val="2"/>
              </w:numPr>
            </w:pPr>
            <w:r>
              <w:rPr>
                <w:rStyle w:val="VarsaylanParagrafYazTipi"/>
              </w:rPr>
              <w:t>Project repository on GitHub:</w:t>
            </w:r>
          </w:p>
          <w:p w14:paraId="5A8A5063" w14:textId="77777777" w:rsidR="00B63F7B" w:rsidRDefault="005A0A7B">
            <w:pPr>
              <w:pStyle w:val="a6"/>
              <w:numPr>
                <w:ilvl w:val="0"/>
                <w:numId w:val="2"/>
              </w:numPr>
            </w:pPr>
            <w:r>
              <w:rPr>
                <w:rStyle w:val="VarsaylanParagrafYazTipi"/>
              </w:rPr>
              <w:t>LU attended the XXX.</w:t>
            </w:r>
          </w:p>
          <w:p w14:paraId="073AC906" w14:textId="77777777" w:rsidR="00B63F7B" w:rsidRDefault="005A0A7B">
            <w:pPr>
              <w:pStyle w:val="a3"/>
              <w:rPr>
                <w:b/>
                <w:bCs/>
                <w:u w:val="single"/>
              </w:rPr>
            </w:pPr>
            <w:proofErr w:type="spellStart"/>
            <w:r>
              <w:rPr>
                <w:b/>
                <w:bCs/>
                <w:u w:val="single"/>
              </w:rPr>
              <w:t>Netcad</w:t>
            </w:r>
            <w:proofErr w:type="spellEnd"/>
            <w:r>
              <w:rPr>
                <w:b/>
                <w:bCs/>
                <w:u w:val="single"/>
              </w:rPr>
              <w:t>:</w:t>
            </w:r>
          </w:p>
          <w:p w14:paraId="753EA399" w14:textId="77777777" w:rsidR="00B63F7B" w:rsidRDefault="005A0A7B">
            <w:pPr>
              <w:pStyle w:val="a3"/>
            </w:pPr>
            <w:r>
              <w:t xml:space="preserve">During the research, </w:t>
            </w:r>
            <w:proofErr w:type="spellStart"/>
            <w:r>
              <w:t>Netcad</w:t>
            </w:r>
            <w:proofErr w:type="spellEnd"/>
            <w:r>
              <w:t xml:space="preserve"> will undertake dissemination activities focused on the non-confidential technical and application-oriented aspects of its contribution to VISION. These activities are expected to include participation in joint scientific and technical publications, presentations at conferences, workshops and trade fairs, and dissemination of project-relevant insights through channels related to GIS, smart cities, mining technologies, infrastructure digitalisation and applied digital twin solutions. </w:t>
            </w:r>
            <w:proofErr w:type="spellStart"/>
            <w:r>
              <w:t>Netcad’s</w:t>
            </w:r>
            <w:proofErr w:type="spellEnd"/>
            <w:r>
              <w:t xml:space="preserve"> dissemination will particularly highlight the practical </w:t>
            </w:r>
            <w:r>
              <w:lastRenderedPageBreak/>
              <w:t xml:space="preserve">value of transport digital twins, geospatially enabled optimisation, sustainability-aware logistics and real-time operational visualisation. In addition, </w:t>
            </w:r>
            <w:proofErr w:type="spellStart"/>
            <w:r>
              <w:t>Netcad</w:t>
            </w:r>
            <w:proofErr w:type="spellEnd"/>
            <w:r>
              <w:t xml:space="preserve"> can use project demonstrations, pilot outcomes and technical presentations to communicate the business relevance of the developed functions to stakeholder groups and prospective adopters. This direction is also consistent with the dissemination style used in the IoDT² example, where </w:t>
            </w:r>
            <w:proofErr w:type="spellStart"/>
            <w:r>
              <w:t>Netcad</w:t>
            </w:r>
            <w:proofErr w:type="spellEnd"/>
            <w:r>
              <w:t>-facing dissemination is framed around technical publications, conferences, workshops and trade events.</w:t>
            </w:r>
          </w:p>
          <w:p w14:paraId="7F171C2A" w14:textId="77777777" w:rsidR="00B63F7B" w:rsidRDefault="00B63F7B">
            <w:pPr>
              <w:pStyle w:val="a3"/>
            </w:pPr>
          </w:p>
          <w:p w14:paraId="34A07391" w14:textId="77777777" w:rsidR="00B63F7B" w:rsidRDefault="005A0A7B">
            <w:pPr>
              <w:pStyle w:val="a3"/>
            </w:pPr>
            <w:r>
              <w:t>Detail the involvement in community activities</w:t>
            </w:r>
          </w:p>
          <w:p w14:paraId="0A7E4258" w14:textId="77777777" w:rsidR="00B63F7B" w:rsidRDefault="005A0A7B">
            <w:pPr>
              <w:pStyle w:val="a3"/>
            </w:pPr>
            <w:r>
              <w:t>At this stage it is unlikely that any community activities will be relevant to the project.</w:t>
            </w:r>
          </w:p>
          <w:p w14:paraId="28C3D415" w14:textId="77777777" w:rsidR="00B63F7B" w:rsidRDefault="005A0A7B">
            <w:pPr>
              <w:pStyle w:val="a3"/>
              <w:rPr>
                <w:b/>
                <w:bCs/>
                <w:u w:val="single"/>
              </w:rPr>
            </w:pPr>
            <w:proofErr w:type="spellStart"/>
            <w:r>
              <w:rPr>
                <w:b/>
                <w:bCs/>
                <w:u w:val="single"/>
              </w:rPr>
              <w:t>Netcad</w:t>
            </w:r>
            <w:proofErr w:type="spellEnd"/>
            <w:r>
              <w:rPr>
                <w:b/>
                <w:bCs/>
                <w:u w:val="single"/>
              </w:rPr>
              <w:t>:</w:t>
            </w:r>
          </w:p>
          <w:p w14:paraId="7BABE040" w14:textId="77777777" w:rsidR="00B63F7B" w:rsidRDefault="005A0A7B">
            <w:pPr>
              <w:pStyle w:val="a3"/>
            </w:pPr>
            <w:proofErr w:type="spellStart"/>
            <w:r>
              <w:t>Netcad’s</w:t>
            </w:r>
            <w:proofErr w:type="spellEnd"/>
            <w:r>
              <w:t xml:space="preserve"> involvement in community activities will focus on engagement with its existing ecosystem of users and stakeholders, including public authorities, municipalities, engineering companies, infrastructure-related actors and sector professionals. These activities may include stakeholder meetings, webinars, user-group interactions, demonstration-oriented sessions and feedback workshops designed to collect input on VISION-enabled functionalities and explore future use cases. In the context of VISION, this communit</w:t>
            </w:r>
            <w:r>
              <w:t xml:space="preserve">y interaction is valuable because </w:t>
            </w:r>
            <w:proofErr w:type="spellStart"/>
            <w:r>
              <w:t>Netcad’s</w:t>
            </w:r>
            <w:proofErr w:type="spellEnd"/>
            <w:r>
              <w:t xml:space="preserve"> target audience is not only a technology audience but also operational and institutional users who require practical, trusted and domain-relevant solutions. This approach is also aligned with the IoDT² example, where </w:t>
            </w:r>
            <w:proofErr w:type="spellStart"/>
            <w:r>
              <w:t>Netcad’s</w:t>
            </w:r>
            <w:proofErr w:type="spellEnd"/>
            <w:r>
              <w:t xml:space="preserve"> community role was framed through engagement with municipal, governmental and engineering user communities.</w:t>
            </w:r>
          </w:p>
          <w:p w14:paraId="0BC6E10D" w14:textId="77777777" w:rsidR="00B63F7B" w:rsidRDefault="00B63F7B">
            <w:pPr>
              <w:pStyle w:val="a3"/>
            </w:pPr>
          </w:p>
          <w:p w14:paraId="67B4757B" w14:textId="77777777" w:rsidR="00B63F7B" w:rsidRDefault="00B63F7B">
            <w:pPr>
              <w:pStyle w:val="a3"/>
            </w:pPr>
          </w:p>
          <w:p w14:paraId="110BCDA6" w14:textId="77777777" w:rsidR="00B63F7B" w:rsidRDefault="005A0A7B">
            <w:pPr>
              <w:pStyle w:val="a3"/>
              <w:rPr>
                <w:b/>
                <w:bCs/>
              </w:rPr>
            </w:pPr>
            <w:r>
              <w:rPr>
                <w:b/>
                <w:bCs/>
              </w:rPr>
              <w:t>Detail the involvement with standardisation activities</w:t>
            </w:r>
          </w:p>
          <w:p w14:paraId="0CDD043E" w14:textId="77777777" w:rsidR="00B63F7B" w:rsidRDefault="005A0A7B">
            <w:pPr>
              <w:pStyle w:val="a3"/>
            </w:pPr>
            <w:r>
              <w:t>If as the project progresses standardisation activities become necessary, then the project partners will review the options available to them and agree the most effective and efficient way to progress the necessary activities.</w:t>
            </w:r>
          </w:p>
          <w:p w14:paraId="15F87513" w14:textId="77777777" w:rsidR="00B63F7B" w:rsidRDefault="00B63F7B">
            <w:pPr>
              <w:pStyle w:val="a3"/>
            </w:pPr>
          </w:p>
          <w:p w14:paraId="77B0165E" w14:textId="77777777" w:rsidR="00B63F7B" w:rsidRDefault="005A0A7B">
            <w:pPr>
              <w:pStyle w:val="a3"/>
              <w:rPr>
                <w:b/>
                <w:bCs/>
                <w:u w:val="single"/>
              </w:rPr>
            </w:pPr>
            <w:proofErr w:type="spellStart"/>
            <w:r>
              <w:rPr>
                <w:b/>
                <w:bCs/>
                <w:u w:val="single"/>
              </w:rPr>
              <w:t>Netcad</w:t>
            </w:r>
            <w:proofErr w:type="spellEnd"/>
            <w:r>
              <w:rPr>
                <w:b/>
                <w:bCs/>
                <w:u w:val="single"/>
              </w:rPr>
              <w:t>:</w:t>
            </w:r>
          </w:p>
          <w:p w14:paraId="39570464" w14:textId="77777777" w:rsidR="00B63F7B" w:rsidRDefault="005A0A7B">
            <w:pPr>
              <w:pStyle w:val="a3"/>
            </w:pPr>
            <w:proofErr w:type="spellStart"/>
            <w:r>
              <w:t>Netcad’s</w:t>
            </w:r>
            <w:proofErr w:type="spellEnd"/>
            <w:r>
              <w:t xml:space="preserve"> standardisation-related contribution in VISION will centre on interoperability, structured data exchange and alignment with geospatial and infrastructure-related standards and practices. Given </w:t>
            </w:r>
            <w:proofErr w:type="spellStart"/>
            <w:r>
              <w:t>Netcad’s</w:t>
            </w:r>
            <w:proofErr w:type="spellEnd"/>
            <w:r>
              <w:t xml:space="preserve"> role in transport-oriented digital twins, sustainability-linked data integration and geospatial workflows, its </w:t>
            </w:r>
            <w:proofErr w:type="gramStart"/>
            <w:r>
              <w:t>main focus</w:t>
            </w:r>
            <w:proofErr w:type="gramEnd"/>
            <w:r>
              <w:t xml:space="preserve"> will be to ensure that project outcomes can be integrated into realistic operational and institutional environments without losing semantic clarity, data consistency or reuse potential. </w:t>
            </w:r>
            <w:proofErr w:type="spellStart"/>
            <w:r>
              <w:t>Netcad</w:t>
            </w:r>
            <w:proofErr w:type="spellEnd"/>
            <w:r>
              <w:t xml:space="preserve"> is particularly well placed to provide implementation-oriented feedback on how digital twin components, transport data, route models, infrastructure context and spatial information should be represented so that the resulting solution remains scalable and interoperable. The overall tone and approach can follow the successful model already visible in the IoDT² standardisation section, where </w:t>
            </w:r>
            <w:proofErr w:type="spellStart"/>
            <w:r>
              <w:t>Netcad’s</w:t>
            </w:r>
            <w:proofErr w:type="spellEnd"/>
            <w:r>
              <w:t xml:space="preserve"> contribution is positioned around geospatial interoperability, public-sector compatibility and practical standardisation input.</w:t>
            </w:r>
          </w:p>
          <w:p w14:paraId="5A504E10" w14:textId="77777777" w:rsidR="00B63F7B" w:rsidRDefault="00B63F7B">
            <w:pPr>
              <w:pStyle w:val="a3"/>
            </w:pPr>
          </w:p>
          <w:p w14:paraId="55CF9E91" w14:textId="77777777" w:rsidR="00B63F7B" w:rsidRDefault="00B63F7B">
            <w:pPr>
              <w:pStyle w:val="a3"/>
            </w:pPr>
          </w:p>
          <w:p w14:paraId="190309F4" w14:textId="77777777" w:rsidR="00B63F7B" w:rsidRDefault="00B63F7B">
            <w:pPr>
              <w:pStyle w:val="a3"/>
            </w:pPr>
          </w:p>
          <w:p w14:paraId="24A190FC" w14:textId="77777777" w:rsidR="00B63F7B" w:rsidRDefault="005A0A7B">
            <w:pPr>
              <w:pStyle w:val="a3"/>
              <w:rPr>
                <w:b/>
                <w:bCs/>
              </w:rPr>
            </w:pPr>
            <w:r>
              <w:rPr>
                <w:b/>
                <w:bCs/>
              </w:rPr>
              <w:t>Detail the training / educational activities.</w:t>
            </w:r>
          </w:p>
          <w:p w14:paraId="6543E7FD" w14:textId="77777777" w:rsidR="00B63F7B" w:rsidRDefault="005A0A7B">
            <w:pPr>
              <w:pStyle w:val="a3"/>
            </w:pPr>
            <w:r>
              <w:t>We will create some undergraduate and postgraduate projects in this area. The undergraduate projects will focus on understanding and implementation, and the postgraduate projects will encourage project students to conduct some level of open research, such as opportunities to use digital twins for predictive maintenance.</w:t>
            </w:r>
          </w:p>
          <w:p w14:paraId="7927C9F2" w14:textId="77777777" w:rsidR="00B63F7B" w:rsidRDefault="00B63F7B">
            <w:pPr>
              <w:pStyle w:val="a3"/>
            </w:pPr>
          </w:p>
          <w:p w14:paraId="067B3E7B" w14:textId="77777777" w:rsidR="00B63F7B" w:rsidRDefault="005A0A7B">
            <w:pPr>
              <w:pStyle w:val="a3"/>
              <w:rPr>
                <w:b/>
                <w:bCs/>
                <w:u w:val="single"/>
              </w:rPr>
            </w:pPr>
            <w:r>
              <w:rPr>
                <w:b/>
                <w:bCs/>
                <w:u w:val="single"/>
              </w:rPr>
              <w:t>ALPATA:</w:t>
            </w:r>
          </w:p>
          <w:p w14:paraId="4118A802" w14:textId="77777777" w:rsidR="00B63F7B" w:rsidRDefault="005A0A7B">
            <w:pPr>
              <w:pStyle w:val="a3"/>
            </w:pPr>
            <w:proofErr w:type="spellStart"/>
            <w:r>
              <w:rPr>
                <w:rStyle w:val="VarsaylanParagrafYazTipi"/>
              </w:rPr>
              <w:lastRenderedPageBreak/>
              <w:t>Alpata</w:t>
            </w:r>
            <w:proofErr w:type="spellEnd"/>
            <w:r>
              <w:rPr>
                <w:rStyle w:val="VarsaylanParagrafYazTipi"/>
              </w:rPr>
              <w:t xml:space="preserve"> plans to contribute to dissemination activities through participation in project meetings, technical workshops, and collaborative publications with consortium partners.</w:t>
            </w:r>
          </w:p>
          <w:p w14:paraId="69F23ED3" w14:textId="77777777" w:rsidR="00B63F7B" w:rsidRDefault="005A0A7B">
            <w:pPr>
              <w:pStyle w:val="a3"/>
            </w:pPr>
            <w:r>
              <w:t>The company will share project insights through industrial and research events related to logistics digitalisation, supply chain analytics, and industrial AI applications.</w:t>
            </w:r>
          </w:p>
          <w:p w14:paraId="0D61064A" w14:textId="77777777" w:rsidR="00B63F7B" w:rsidRDefault="005A0A7B">
            <w:pPr>
              <w:pStyle w:val="a3"/>
            </w:pPr>
            <w:r>
              <w:rPr>
                <w:rStyle w:val="VarsaylanParagrafYazTipi"/>
              </w:rPr>
              <w:t>In addition, selected project results may be presented in technical presentations, industry workshops, or applied research publications focusing on digital supply chain technologies.</w:t>
            </w:r>
          </w:p>
          <w:p w14:paraId="5E3AEBFE" w14:textId="77777777" w:rsidR="00B63F7B" w:rsidRDefault="005A0A7B">
            <w:pPr>
              <w:pStyle w:val="a3"/>
            </w:pPr>
            <w:proofErr w:type="spellStart"/>
            <w:r>
              <w:rPr>
                <w:rStyle w:val="VarsaylanParagrafYazTipi"/>
                <w:b/>
                <w:bCs/>
                <w:u w:val="single"/>
              </w:rPr>
              <w:t>Netcad</w:t>
            </w:r>
            <w:proofErr w:type="spellEnd"/>
            <w:r>
              <w:rPr>
                <w:rStyle w:val="VarsaylanParagrafYazTipi"/>
                <w:b/>
                <w:bCs/>
                <w:u w:val="single"/>
              </w:rPr>
              <w:t>:</w:t>
            </w:r>
          </w:p>
          <w:p w14:paraId="157C686F" w14:textId="77777777" w:rsidR="00B63F7B" w:rsidRDefault="005A0A7B">
            <w:pPr>
              <w:pStyle w:val="a3"/>
            </w:pPr>
            <w:proofErr w:type="spellStart"/>
            <w:r>
              <w:rPr>
                <w:rStyle w:val="VarsaylanParagrafYazTipi"/>
              </w:rPr>
              <w:t>Netcad</w:t>
            </w:r>
            <w:proofErr w:type="spellEnd"/>
            <w:r>
              <w:rPr>
                <w:rStyle w:val="VarsaylanParagrafYazTipi"/>
              </w:rPr>
              <w:t xml:space="preserve"> will contribute to training and educational activities by supporting internal knowledge transfer, technical awareness and user-oriented capacity building around VISION-related technologies. This may include training sessions, technical workshops, demo-based learning, internal dissemination meetings, and future customer-facing enablement activities focused on digital twin-supported transport optimisation, geospatial analytics, sustainability integration, route planning and real-time operational monitoring. </w:t>
            </w:r>
            <w:r>
              <w:rPr>
                <w:rStyle w:val="VarsaylanParagrafYazTipi"/>
              </w:rPr>
              <w:t xml:space="preserve">Because the VISION outputs also include user training and support material, </w:t>
            </w:r>
            <w:proofErr w:type="spellStart"/>
            <w:r>
              <w:rPr>
                <w:rStyle w:val="VarsaylanParagrafYazTipi"/>
              </w:rPr>
              <w:t>Netcad’s</w:t>
            </w:r>
            <w:proofErr w:type="spellEnd"/>
            <w:r>
              <w:rPr>
                <w:rStyle w:val="VarsaylanParagrafYazTipi"/>
              </w:rPr>
              <w:t xml:space="preserve"> role in training is not only internal but also commercially relevant: selected project results can later be translated into product training, implementation support and customer adoption materials. This framing is also consistent with the IoDT² example, where </w:t>
            </w:r>
            <w:proofErr w:type="spellStart"/>
            <w:r>
              <w:rPr>
                <w:rStyle w:val="VarsaylanParagrafYazTipi"/>
              </w:rPr>
              <w:t>Netcad’s</w:t>
            </w:r>
            <w:proofErr w:type="spellEnd"/>
            <w:r>
              <w:rPr>
                <w:rStyle w:val="VarsaylanParagrafYazTipi"/>
              </w:rPr>
              <w:t xml:space="preserve"> training contribution was linked to tailored sessions for authorities and engineering companies and to broader knowledge-transfer activities.</w:t>
            </w:r>
          </w:p>
          <w:p w14:paraId="60BF3926" w14:textId="77777777" w:rsidR="00B63F7B" w:rsidRDefault="00B63F7B">
            <w:pPr>
              <w:pStyle w:val="a3"/>
            </w:pPr>
          </w:p>
        </w:tc>
      </w:tr>
    </w:tbl>
    <w:p w14:paraId="5C3B45EC" w14:textId="77777777" w:rsidR="00B63F7B" w:rsidRDefault="00B63F7B">
      <w:pPr>
        <w:pStyle w:val="a3"/>
      </w:pPr>
    </w:p>
    <w:p w14:paraId="68F6529D" w14:textId="77777777" w:rsidR="00B63F7B" w:rsidRDefault="00B63F7B">
      <w:pPr>
        <w:pStyle w:val="a3"/>
      </w:pPr>
    </w:p>
    <w:sectPr w:rsidR="00B63F7B">
      <w:headerReference w:type="default" r:id="rId14"/>
      <w:footerReference w:type="default" r:id="rId15"/>
      <w:pgSz w:w="11907" w:h="16840"/>
      <w:pgMar w:top="1440" w:right="1418" w:bottom="1440"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F4024" w14:textId="77777777" w:rsidR="005A0A7B" w:rsidRDefault="005A0A7B">
      <w:r>
        <w:separator/>
      </w:r>
    </w:p>
  </w:endnote>
  <w:endnote w:type="continuationSeparator" w:id="0">
    <w:p w14:paraId="2787B409" w14:textId="77777777" w:rsidR="005A0A7B" w:rsidRDefault="005A0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901B1" w14:textId="77777777" w:rsidR="006F5E68" w:rsidRDefault="005A0A7B">
    <w:pPr>
      <w:pStyle w:val="AltBilgi"/>
    </w:pPr>
    <w:r>
      <w:rPr>
        <w:rStyle w:val="VarsaylanParagrafYazTipi"/>
      </w:rPr>
      <w:fldChar w:fldCharType="begin"/>
    </w:r>
    <w:r>
      <w:rPr>
        <w:rStyle w:val="VarsaylanParagrafYazTipi"/>
      </w:rPr>
      <w:instrText xml:space="preserve"> PAGE </w:instrText>
    </w:r>
    <w:r>
      <w:rPr>
        <w:rStyle w:val="VarsaylanParagrafYazTipi"/>
      </w:rPr>
      <w:fldChar w:fldCharType="separate"/>
    </w:r>
    <w:r>
      <w:rPr>
        <w:rStyle w:val="VarsaylanParagrafYazTipi"/>
      </w:rPr>
      <w:t>2</w:t>
    </w:r>
    <w:r>
      <w:rPr>
        <w:rStyle w:val="VarsaylanParagrafYazTipi"/>
      </w:rPr>
      <w:fldChar w:fldCharType="end"/>
    </w:r>
  </w:p>
  <w:p w14:paraId="7C02B38C" w14:textId="77777777" w:rsidR="006F5E68" w:rsidRDefault="005A0A7B">
    <w:pPr>
      <w:pStyle w:val="AltBilgi"/>
    </w:pPr>
    <w:r>
      <w:t>D6.1.2 Initial Project Standardisation and Exploitation Plan</w:t>
    </w:r>
  </w:p>
  <w:p w14:paraId="0EAEF04F" w14:textId="77777777" w:rsidR="006F5E68" w:rsidRDefault="006F5E68">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AABB7" w14:textId="77777777" w:rsidR="006F5E68" w:rsidRDefault="005A0A7B">
    <w:pPr>
      <w:pStyle w:val="AltBilgi"/>
    </w:pPr>
    <w:r>
      <w:rPr>
        <w:rStyle w:val="VarsaylanParagrafYazTipi"/>
      </w:rPr>
      <w:fldChar w:fldCharType="begin"/>
    </w:r>
    <w:r>
      <w:rPr>
        <w:rStyle w:val="VarsaylanParagrafYazTipi"/>
      </w:rPr>
      <w:instrText xml:space="preserve"> PAGE </w:instrText>
    </w:r>
    <w:r>
      <w:rPr>
        <w:rStyle w:val="VarsaylanParagrafYazTipi"/>
      </w:rPr>
      <w:fldChar w:fldCharType="separate"/>
    </w:r>
    <w:r>
      <w:rPr>
        <w:rStyle w:val="VarsaylanParagrafYazTipi"/>
      </w:rPr>
      <w:t>2</w:t>
    </w:r>
    <w:r>
      <w:rPr>
        <w:rStyle w:val="VarsaylanParagrafYazTipi"/>
      </w:rPr>
      <w:fldChar w:fldCharType="end"/>
    </w:r>
  </w:p>
  <w:p w14:paraId="785A5BBA" w14:textId="77777777" w:rsidR="006F5E68" w:rsidRDefault="005A0A7B">
    <w:pPr>
      <w:pStyle w:val="AltBilgi"/>
    </w:pPr>
    <w:r>
      <w:t>D</w:t>
    </w:r>
    <w:r>
      <w:rPr>
        <w:rStyle w:val="a4"/>
        <w:lang w:eastAsia="zh-CN"/>
      </w:rPr>
      <w:t>1.7</w:t>
    </w:r>
    <w:r>
      <w:t xml:space="preserve"> Initial Project Standardisation and Exploitation Plan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942A6" w14:textId="77777777" w:rsidR="005A0A7B" w:rsidRDefault="005A0A7B">
      <w:r>
        <w:rPr>
          <w:color w:val="000000"/>
        </w:rPr>
        <w:separator/>
      </w:r>
    </w:p>
  </w:footnote>
  <w:footnote w:type="continuationSeparator" w:id="0">
    <w:p w14:paraId="577807A3" w14:textId="77777777" w:rsidR="005A0A7B" w:rsidRDefault="005A0A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5CE41" w14:textId="77777777" w:rsidR="006F5E68" w:rsidRDefault="005A0A7B">
    <w:pPr>
      <w:pStyle w:val="stBilgi"/>
    </w:pPr>
    <w:r>
      <w:t>LOGOs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8B317" w14:textId="77777777" w:rsidR="006F5E68" w:rsidRDefault="005A0A7B">
    <w:pPr>
      <w:pStyle w:val="stBilgi"/>
    </w:pPr>
    <w:r>
      <w:rPr>
        <w:rStyle w:val="VarsaylanParagrafYazTipi"/>
        <w:rFonts w:ascii="等线" w:eastAsia="等线" w:hAnsi="等线"/>
        <w:lang w:eastAsia="zh-CN"/>
      </w:rPr>
      <w:t>LOGOs</w:t>
    </w:r>
    <w:r>
      <w:rPr>
        <w:rStyle w:val="VarsaylanParagrafYazTipi"/>
      </w:rPr>
      <w:t xml:space="preserve"> </w:t>
    </w:r>
    <w:r>
      <w:rPr>
        <w:rStyle w:val="VarsaylanParagrafYazTipi"/>
        <w:rFonts w:ascii="Segoe UI" w:hAnsi="Segoe UI" w:cs="Segoe UI"/>
        <w:color w:val="000000"/>
        <w:sz w:val="18"/>
        <w:szCs w:val="18"/>
        <w:shd w:val="clear" w:color="auto" w:fill="C6C6C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AF2489"/>
    <w:multiLevelType w:val="multilevel"/>
    <w:tmpl w:val="C4F80B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5D135CAC"/>
    <w:multiLevelType w:val="multilevel"/>
    <w:tmpl w:val="01A68B6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057556979">
    <w:abstractNumId w:val="1"/>
  </w:num>
  <w:num w:numId="2" w16cid:durableId="1066687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F7B"/>
    <w:rsid w:val="001D4435"/>
    <w:rsid w:val="0034662D"/>
    <w:rsid w:val="00357C3B"/>
    <w:rsid w:val="00473C27"/>
    <w:rsid w:val="005A0A7B"/>
    <w:rsid w:val="005F6D50"/>
    <w:rsid w:val="006D296D"/>
    <w:rsid w:val="006F5E68"/>
    <w:rsid w:val="008818BB"/>
    <w:rsid w:val="00930C50"/>
    <w:rsid w:val="00B63F7B"/>
    <w:rsid w:val="00EE39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62931"/>
  <w15:docId w15:val="{9697CF39-DC65-4FB5-8982-630D1C72A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제목 1"/>
    <w:basedOn w:val="a3"/>
    <w:next w:val="a3"/>
    <w:pPr>
      <w:keepNext/>
      <w:keepLines/>
      <w:spacing w:before="240" w:after="0"/>
      <w:jc w:val="center"/>
      <w:outlineLvl w:val="0"/>
    </w:pPr>
    <w:rPr>
      <w:rFonts w:ascii="Aptos Display" w:eastAsia="等线 Light" w:hAnsi="Aptos Display" w:cs="Times New Roman"/>
      <w:b/>
      <w:color w:val="000000"/>
      <w:sz w:val="32"/>
      <w:szCs w:val="32"/>
      <w:u w:val="single"/>
    </w:rPr>
  </w:style>
  <w:style w:type="paragraph" w:customStyle="1" w:styleId="2">
    <w:name w:val="제목 2"/>
    <w:basedOn w:val="a3"/>
    <w:next w:val="a3"/>
    <w:pPr>
      <w:keepNext/>
      <w:keepLines/>
      <w:spacing w:before="40" w:after="0"/>
      <w:outlineLvl w:val="1"/>
    </w:pPr>
    <w:rPr>
      <w:rFonts w:ascii="Aptos Display" w:eastAsia="等线 Light" w:hAnsi="Aptos Display" w:cs="Times New Roman"/>
      <w:b/>
      <w:color w:val="000000"/>
      <w:sz w:val="26"/>
      <w:szCs w:val="26"/>
      <w:u w:val="single"/>
    </w:rPr>
  </w:style>
  <w:style w:type="paragraph" w:customStyle="1" w:styleId="3">
    <w:name w:val="제목 3"/>
    <w:basedOn w:val="a3"/>
    <w:next w:val="a3"/>
    <w:pPr>
      <w:keepNext/>
      <w:keepLines/>
      <w:spacing w:before="40" w:after="0"/>
      <w:outlineLvl w:val="2"/>
    </w:pPr>
    <w:rPr>
      <w:rFonts w:ascii="Aptos Display" w:eastAsia="等线 Light" w:hAnsi="Aptos Display" w:cs="Times New Roman"/>
      <w:b/>
      <w:color w:val="000000"/>
      <w:sz w:val="24"/>
      <w:szCs w:val="24"/>
    </w:rPr>
  </w:style>
  <w:style w:type="paragraph" w:customStyle="1" w:styleId="a3">
    <w:name w:val="표준"/>
    <w:pPr>
      <w:spacing w:before="100" w:after="100"/>
      <w:textAlignment w:val="auto"/>
    </w:pPr>
    <w:rPr>
      <w:rFonts w:ascii="Arial" w:hAnsi="Arial" w:cs="Arial"/>
    </w:rPr>
  </w:style>
  <w:style w:type="character" w:customStyle="1" w:styleId="a4">
    <w:name w:val="기본 단락 글꼴"/>
  </w:style>
  <w:style w:type="paragraph" w:customStyle="1" w:styleId="Balk1">
    <w:name w:val="Başlık 1"/>
    <w:basedOn w:val="a3"/>
    <w:next w:val="a3"/>
    <w:pPr>
      <w:keepNext/>
      <w:suppressAutoHyphens/>
      <w:outlineLvl w:val="0"/>
    </w:pPr>
    <w:rPr>
      <w:sz w:val="24"/>
    </w:rPr>
  </w:style>
  <w:style w:type="paragraph" w:customStyle="1" w:styleId="Balk2">
    <w:name w:val="Başlık 2"/>
    <w:basedOn w:val="a3"/>
    <w:next w:val="a3"/>
    <w:pPr>
      <w:keepNext/>
      <w:suppressAutoHyphens/>
      <w:outlineLvl w:val="1"/>
    </w:pPr>
    <w:rPr>
      <w:b/>
    </w:rPr>
  </w:style>
  <w:style w:type="paragraph" w:customStyle="1" w:styleId="Balk3">
    <w:name w:val="Başlık 3"/>
    <w:basedOn w:val="a3"/>
    <w:next w:val="a3"/>
    <w:pPr>
      <w:keepNext/>
      <w:suppressAutoHyphens/>
      <w:outlineLvl w:val="2"/>
    </w:pPr>
    <w:rPr>
      <w:b/>
      <w:sz w:val="22"/>
    </w:rPr>
  </w:style>
  <w:style w:type="character" w:customStyle="1" w:styleId="VarsaylanParagrafYazTipi">
    <w:name w:val="Varsayılan Paragraf Yazı Tipi"/>
  </w:style>
  <w:style w:type="paragraph" w:customStyle="1" w:styleId="stBilgi">
    <w:name w:val="Üst Bilgi"/>
    <w:basedOn w:val="a3"/>
    <w:pPr>
      <w:tabs>
        <w:tab w:val="center" w:pos="4153"/>
        <w:tab w:val="right" w:pos="8306"/>
      </w:tabs>
      <w:suppressAutoHyphens/>
    </w:pPr>
  </w:style>
  <w:style w:type="paragraph" w:customStyle="1" w:styleId="AltBilgi">
    <w:name w:val="Alt Bilgi"/>
    <w:basedOn w:val="a3"/>
    <w:pPr>
      <w:tabs>
        <w:tab w:val="center" w:pos="4153"/>
        <w:tab w:val="right" w:pos="8306"/>
      </w:tabs>
      <w:suppressAutoHyphens/>
    </w:pPr>
  </w:style>
  <w:style w:type="character" w:customStyle="1" w:styleId="SayfaNumaras">
    <w:name w:val="Sayfa Numarası"/>
    <w:basedOn w:val="VarsaylanParagrafYazTipi"/>
  </w:style>
  <w:style w:type="paragraph" w:customStyle="1" w:styleId="GvdeMetni">
    <w:name w:val="Gövde Metni"/>
    <w:basedOn w:val="a3"/>
    <w:pPr>
      <w:suppressAutoHyphens/>
    </w:pPr>
    <w:rPr>
      <w:sz w:val="22"/>
    </w:rPr>
  </w:style>
  <w:style w:type="paragraph" w:customStyle="1" w:styleId="GvdeMetniGirintisi">
    <w:name w:val="Gövde Metni Girintisi"/>
    <w:basedOn w:val="a3"/>
    <w:pPr>
      <w:suppressAutoHyphens/>
      <w:ind w:left="2880" w:hanging="2880"/>
    </w:pPr>
    <w:rPr>
      <w:sz w:val="22"/>
    </w:rPr>
  </w:style>
  <w:style w:type="paragraph" w:customStyle="1" w:styleId="BalonMetni">
    <w:name w:val="Balon Metni"/>
    <w:basedOn w:val="a3"/>
    <w:pPr>
      <w:suppressAutoHyphens/>
    </w:pPr>
    <w:rPr>
      <w:rFonts w:ascii="Tahoma" w:hAnsi="Tahoma" w:cs="Tahoma"/>
      <w:sz w:val="16"/>
      <w:szCs w:val="16"/>
    </w:rPr>
  </w:style>
  <w:style w:type="character" w:customStyle="1" w:styleId="FooterChar">
    <w:name w:val="Footer Char"/>
    <w:basedOn w:val="VarsaylanParagrafYazTipi"/>
    <w:rPr>
      <w:lang w:eastAsia="en-US"/>
    </w:rPr>
  </w:style>
  <w:style w:type="paragraph" w:customStyle="1" w:styleId="ListeParagraf">
    <w:name w:val="Liste Paragraf"/>
    <w:basedOn w:val="a3"/>
    <w:pPr>
      <w:suppressAutoHyphens/>
      <w:ind w:left="720"/>
    </w:pPr>
  </w:style>
  <w:style w:type="character" w:customStyle="1" w:styleId="Kpr">
    <w:name w:val="Köprü"/>
    <w:basedOn w:val="VarsaylanParagrafYazTipi"/>
    <w:rPr>
      <w:color w:val="467886"/>
      <w:u w:val="single"/>
    </w:rPr>
  </w:style>
  <w:style w:type="character" w:customStyle="1" w:styleId="zmlenmeyenBahsetme">
    <w:name w:val="Çözümlenmeyen Bahsetme"/>
    <w:basedOn w:val="VarsaylanParagrafYazTipi"/>
    <w:rPr>
      <w:color w:val="605E5C"/>
      <w:shd w:val="clear" w:color="auto" w:fill="E1DFDD"/>
    </w:rPr>
  </w:style>
  <w:style w:type="character" w:customStyle="1" w:styleId="Heading3Char">
    <w:name w:val="Heading 3 Char"/>
    <w:basedOn w:val="VarsaylanParagrafYazTipi"/>
    <w:rPr>
      <w:b/>
      <w:sz w:val="22"/>
      <w:lang w:eastAsia="en-US"/>
    </w:rPr>
  </w:style>
  <w:style w:type="paragraph" w:customStyle="1" w:styleId="a5">
    <w:name w:val="일반 (웹)"/>
    <w:basedOn w:val="a3"/>
    <w:rPr>
      <w:sz w:val="24"/>
      <w:szCs w:val="24"/>
    </w:rPr>
  </w:style>
  <w:style w:type="paragraph" w:customStyle="1" w:styleId="Dzeltme">
    <w:name w:val="Düzeltme"/>
    <w:pPr>
      <w:textAlignment w:val="auto"/>
    </w:pPr>
    <w:rPr>
      <w:lang w:eastAsia="en-US"/>
    </w:rPr>
  </w:style>
  <w:style w:type="paragraph" w:customStyle="1" w:styleId="a6">
    <w:name w:val="목록 단락"/>
    <w:basedOn w:val="a3"/>
    <w:pPr>
      <w:ind w:left="720"/>
    </w:pPr>
  </w:style>
  <w:style w:type="paragraph" w:customStyle="1" w:styleId="a7">
    <w:name w:val="머리글"/>
    <w:basedOn w:val="a3"/>
    <w:pPr>
      <w:tabs>
        <w:tab w:val="center" w:pos="4680"/>
        <w:tab w:val="right" w:pos="9360"/>
      </w:tabs>
    </w:pPr>
  </w:style>
  <w:style w:type="character" w:customStyle="1" w:styleId="HeaderChar">
    <w:name w:val="Header Char"/>
    <w:basedOn w:val="a4"/>
    <w:rPr>
      <w:lang w:eastAsia="en-US"/>
    </w:rPr>
  </w:style>
  <w:style w:type="paragraph" w:customStyle="1" w:styleId="a8">
    <w:name w:val="바닥글"/>
    <w:basedOn w:val="a3"/>
    <w:pPr>
      <w:tabs>
        <w:tab w:val="center" w:pos="4680"/>
        <w:tab w:val="right" w:pos="9360"/>
      </w:tabs>
    </w:pPr>
  </w:style>
  <w:style w:type="character" w:customStyle="1" w:styleId="FooterChar1">
    <w:name w:val="Footer Char1"/>
    <w:basedOn w:val="a4"/>
    <w:rPr>
      <w:lang w:eastAsia="en-US"/>
    </w:rPr>
  </w:style>
  <w:style w:type="character" w:customStyle="1" w:styleId="Heading1Char">
    <w:name w:val="Heading 1 Char"/>
    <w:basedOn w:val="a4"/>
    <w:rPr>
      <w:rFonts w:ascii="Aptos Display" w:eastAsia="等线 Light" w:hAnsi="Aptos Display" w:cs="Times New Roman"/>
      <w:b/>
      <w:color w:val="000000"/>
      <w:sz w:val="32"/>
      <w:szCs w:val="32"/>
      <w:u w:val="single"/>
    </w:rPr>
  </w:style>
  <w:style w:type="character" w:customStyle="1" w:styleId="Heading2Char">
    <w:name w:val="Heading 2 Char"/>
    <w:basedOn w:val="a4"/>
    <w:rPr>
      <w:rFonts w:ascii="Aptos Display" w:eastAsia="等线 Light" w:hAnsi="Aptos Display" w:cs="Times New Roman"/>
      <w:b/>
      <w:color w:val="000000"/>
      <w:sz w:val="26"/>
      <w:szCs w:val="26"/>
      <w:u w:val="single"/>
    </w:rPr>
  </w:style>
  <w:style w:type="character" w:customStyle="1" w:styleId="Heading3Char1">
    <w:name w:val="Heading 3 Char1"/>
    <w:basedOn w:val="a4"/>
    <w:rPr>
      <w:rFonts w:ascii="Aptos Display" w:eastAsia="等线 Light" w:hAnsi="Aptos Display" w:cs="Times New Roman"/>
      <w:b/>
      <w:color w:val="000000"/>
      <w:sz w:val="24"/>
      <w:szCs w:val="24"/>
    </w:rPr>
  </w:style>
  <w:style w:type="paragraph" w:styleId="a9">
    <w:name w:val="header"/>
    <w:basedOn w:val="a"/>
    <w:link w:val="aa"/>
    <w:uiPriority w:val="99"/>
    <w:unhideWhenUsed/>
    <w:pPr>
      <w:tabs>
        <w:tab w:val="center" w:pos="4153"/>
        <w:tab w:val="right" w:pos="8306"/>
      </w:tabs>
      <w:snapToGrid w:val="0"/>
      <w:jc w:val="center"/>
    </w:pPr>
    <w:rPr>
      <w:sz w:val="18"/>
      <w:szCs w:val="18"/>
    </w:rPr>
  </w:style>
  <w:style w:type="character" w:customStyle="1" w:styleId="aa">
    <w:name w:val="页眉 字符"/>
    <w:basedOn w:val="a0"/>
    <w:link w:val="a9"/>
    <w:uiPriority w:val="99"/>
    <w:rPr>
      <w:sz w:val="18"/>
      <w:szCs w:val="18"/>
    </w:rPr>
  </w:style>
  <w:style w:type="paragraph" w:styleId="ab">
    <w:name w:val="footer"/>
    <w:basedOn w:val="a"/>
    <w:link w:val="ac"/>
    <w:uiPriority w:val="99"/>
    <w:unhideWhenUsed/>
    <w:pPr>
      <w:tabs>
        <w:tab w:val="center" w:pos="4153"/>
        <w:tab w:val="right" w:pos="8306"/>
      </w:tabs>
      <w:snapToGrid w:val="0"/>
    </w:pPr>
    <w:rPr>
      <w:sz w:val="18"/>
      <w:szCs w:val="18"/>
    </w:rPr>
  </w:style>
  <w:style w:type="character" w:customStyle="1" w:styleId="ac">
    <w:name w:val="页脚 字符"/>
    <w:basedOn w:val="a0"/>
    <w:link w:val="ab"/>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itea-vision.github.io/web/"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1c227ee-18de-43fe-bfac-49109a94f3cd" xsi:nil="true"/>
    <lcf76f155ced4ddcb4097134ff3c332f xmlns="bc95536a-ce26-4f72-87b0-2cad891f2c7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523006D6632BA45908FA96FA9F26BB7" ma:contentTypeVersion="12" ma:contentTypeDescription="Create a new document." ma:contentTypeScope="" ma:versionID="2c82104d6a585da19eeda1b71c97f321">
  <xsd:schema xmlns:xsd="http://www.w3.org/2001/XMLSchema" xmlns:xs="http://www.w3.org/2001/XMLSchema" xmlns:p="http://schemas.microsoft.com/office/2006/metadata/properties" xmlns:ns2="bc95536a-ce26-4f72-87b0-2cad891f2c7a" xmlns:ns3="01c227ee-18de-43fe-bfac-49109a94f3cd" targetNamespace="http://schemas.microsoft.com/office/2006/metadata/properties" ma:root="true" ma:fieldsID="68346b2c7e98f386a43afcd6954f7f59" ns2:_="" ns3:_="">
    <xsd:import namespace="bc95536a-ce26-4f72-87b0-2cad891f2c7a"/>
    <xsd:import namespace="01c227ee-18de-43fe-bfac-49109a94f3c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95536a-ce26-4f72-87b0-2cad891f2c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3d76b60-2d42-4a1e-9f17-6bbb9692a78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c227ee-18de-43fe-bfac-49109a94f3c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d85ab59-4ee0-4ca4-abd0-7ad87a55754d}" ma:internalName="TaxCatchAll" ma:showField="CatchAllData" ma:web="01c227ee-18de-43fe-bfac-49109a94f3c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7D9FB0-A659-4094-AF6E-798539ED00CF}">
  <ds:schemaRefs>
    <ds:schemaRef ds:uri="http://schemas.microsoft.com/office/2006/metadata/properties"/>
    <ds:schemaRef ds:uri="http://schemas.microsoft.com/office/infopath/2007/PartnerControls"/>
    <ds:schemaRef ds:uri="01c227ee-18de-43fe-bfac-49109a94f3cd"/>
    <ds:schemaRef ds:uri="bc95536a-ce26-4f72-87b0-2cad891f2c7a"/>
  </ds:schemaRefs>
</ds:datastoreItem>
</file>

<file path=customXml/itemProps2.xml><?xml version="1.0" encoding="utf-8"?>
<ds:datastoreItem xmlns:ds="http://schemas.openxmlformats.org/officeDocument/2006/customXml" ds:itemID="{3AB7C299-B134-448F-B0A7-8B064EB16610}">
  <ds:schemaRefs>
    <ds:schemaRef ds:uri="http://schemas.microsoft.com/sharepoint/v3/contenttype/forms"/>
  </ds:schemaRefs>
</ds:datastoreItem>
</file>

<file path=customXml/itemProps3.xml><?xml version="1.0" encoding="utf-8"?>
<ds:datastoreItem xmlns:ds="http://schemas.openxmlformats.org/officeDocument/2006/customXml" ds:itemID="{E4EEDAE9-5E76-4F2F-8A1F-423917AE26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95536a-ce26-4f72-87b0-2cad891f2c7a"/>
    <ds:schemaRef ds:uri="01c227ee-18de-43fe-bfac-49109a94f3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4119</Words>
  <Characters>23481</Characters>
  <Application>Microsoft Office Word</Application>
  <DocSecurity>0</DocSecurity>
  <Lines>195</Lines>
  <Paragraphs>55</Paragraphs>
  <ScaleCrop>false</ScaleCrop>
  <Company/>
  <LinksUpToDate>false</LinksUpToDate>
  <CharactersWithSpaces>27545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TP Issue 3.0 Exploitation report</dc:title>
  <dc:subject/>
  <dc:creator>Tom Harris</dc:creator>
  <cp:lastModifiedBy>Ziren Xiao</cp:lastModifiedBy>
  <cp:revision>8</cp:revision>
  <cp:lastPrinted>2005-08-21T10:13:00Z</cp:lastPrinted>
  <dcterms:created xsi:type="dcterms:W3CDTF">2026-07-21T11:27:00Z</dcterms:created>
  <dcterms:modified xsi:type="dcterms:W3CDTF">2026-07-21T11:32:00Z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0x010100D523006D6632BA45908FA96FA9F26BB7</vt:lpwstr>
  </property>
  <property fmtid="{D5CDD505-2E9C-101B-9397-08002B2CF9AE}" pid="3" name="GrammarlyDocumentId">
    <vt:lpwstr>bb569862-4726-4b7d-ac3a-1370a62a09d5</vt:lpwstr>
  </property>
  <property fmtid="{D5CDD505-2E9C-101B-9397-08002B2CF9AE}" pid="4" name="MediaServiceImageTags">
    <vt:lpwstr/>
  </property>
</Properties>
</file>